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1099"/>
        <w:gridCol w:w="850"/>
        <w:gridCol w:w="344"/>
        <w:gridCol w:w="968"/>
        <w:gridCol w:w="88"/>
        <w:gridCol w:w="38"/>
        <w:gridCol w:w="726"/>
        <w:gridCol w:w="480"/>
        <w:gridCol w:w="188"/>
        <w:gridCol w:w="38"/>
        <w:gridCol w:w="712"/>
        <w:gridCol w:w="580"/>
        <w:gridCol w:w="38"/>
      </w:tblGrid>
      <w:tr w:rsidR="00D74DEC" w:rsidRPr="00E31856" w:rsidTr="001B3720">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74DEC" w:rsidRPr="00E31856" w:rsidRDefault="00D74DEC" w:rsidP="001B3720">
            <w:pPr>
              <w:spacing w:after="0" w:line="240" w:lineRule="auto"/>
              <w:jc w:val="both"/>
              <w:rPr>
                <w:rFonts w:ascii="Arial" w:hAnsi="Arial" w:cs="Arial"/>
                <w:b/>
                <w:sz w:val="20"/>
                <w:szCs w:val="20"/>
              </w:rPr>
            </w:pPr>
            <w:r w:rsidRPr="00E31856">
              <w:rPr>
                <w:rFonts w:ascii="Arial" w:hAnsi="Arial" w:cs="Arial"/>
                <w:b/>
                <w:sz w:val="20"/>
                <w:szCs w:val="20"/>
              </w:rPr>
              <w:t>NAZIV</w:t>
            </w:r>
          </w:p>
          <w:p w:rsidR="00D74DEC" w:rsidRPr="00E31856" w:rsidRDefault="00D74DEC" w:rsidP="001B3720">
            <w:pPr>
              <w:spacing w:after="0" w:line="240" w:lineRule="auto"/>
              <w:jc w:val="both"/>
              <w:rPr>
                <w:rFonts w:ascii="Arial" w:hAnsi="Arial" w:cs="Arial"/>
                <w:b/>
                <w:sz w:val="20"/>
                <w:szCs w:val="20"/>
              </w:rPr>
            </w:pPr>
            <w:r w:rsidRPr="00E31856">
              <w:rPr>
                <w:rFonts w:ascii="Arial" w:hAnsi="Arial" w:cs="Arial"/>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D74DEC" w:rsidRPr="00E31856" w:rsidRDefault="00D74DEC" w:rsidP="001B3720">
            <w:pPr>
              <w:spacing w:before="60" w:after="60" w:line="240" w:lineRule="auto"/>
              <w:ind w:left="397" w:hanging="397"/>
              <w:rPr>
                <w:rFonts w:ascii="Arial" w:hAnsi="Arial" w:cs="Arial"/>
                <w:b/>
                <w:sz w:val="20"/>
                <w:szCs w:val="20"/>
              </w:rPr>
            </w:pPr>
            <w:r w:rsidRPr="00E31856">
              <w:rPr>
                <w:rFonts w:ascii="Arial" w:hAnsi="Arial" w:cs="Arial"/>
                <w:b/>
                <w:caps/>
              </w:rPr>
              <w:t>Pravni sustav EU</w:t>
            </w:r>
          </w:p>
        </w:tc>
      </w:tr>
      <w:tr w:rsidR="00D74DEC" w:rsidRPr="00E31856" w:rsidTr="001B372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74DEC" w:rsidRPr="005A5B0D" w:rsidRDefault="00D74DEC" w:rsidP="001B3720">
            <w:pPr>
              <w:spacing w:after="0" w:line="240" w:lineRule="auto"/>
              <w:jc w:val="both"/>
              <w:rPr>
                <w:rFonts w:ascii="Arial" w:hAnsi="Arial" w:cs="Arial"/>
                <w:bCs/>
                <w:sz w:val="20"/>
                <w:szCs w:val="20"/>
              </w:rPr>
            </w:pPr>
            <w:r w:rsidRPr="005A5B0D">
              <w:rPr>
                <w:rFonts w:ascii="Arial" w:hAnsi="Arial" w:cs="Arial"/>
                <w:bCs/>
                <w:sz w:val="20"/>
                <w:szCs w:val="20"/>
              </w:rPr>
              <w:t>Kȏd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tblPr>
            <w:tblGrid>
              <w:gridCol w:w="2430"/>
              <w:gridCol w:w="232"/>
            </w:tblGrid>
            <w:tr w:rsidR="00D74DEC" w:rsidRPr="005A5B0D" w:rsidTr="001B3720">
              <w:trPr>
                <w:tblCellSpacing w:w="0" w:type="dxa"/>
              </w:trPr>
              <w:tc>
                <w:tcPr>
                  <w:tcW w:w="8819" w:type="dxa"/>
                  <w:shd w:val="clear" w:color="auto" w:fill="E3EAF1"/>
                  <w:hideMark/>
                </w:tcPr>
                <w:p w:rsidR="00D74DEC" w:rsidRPr="005A5B0D" w:rsidRDefault="00D74DEC" w:rsidP="001B3720">
                  <w:pPr>
                    <w:spacing w:after="0" w:line="240" w:lineRule="auto"/>
                    <w:rPr>
                      <w:rFonts w:ascii="Arial" w:hAnsi="Arial" w:cs="Arial"/>
                      <w:sz w:val="20"/>
                      <w:szCs w:val="20"/>
                    </w:rPr>
                  </w:pPr>
                  <w:r>
                    <w:rPr>
                      <w:rFonts w:ascii="Arial" w:hAnsi="Arial" w:cs="Arial"/>
                      <w:sz w:val="20"/>
                      <w:szCs w:val="20"/>
                    </w:rPr>
                    <w:t>EUE401</w:t>
                  </w:r>
                </w:p>
              </w:tc>
              <w:tc>
                <w:tcPr>
                  <w:tcW w:w="647" w:type="dxa"/>
                  <w:shd w:val="clear" w:color="auto" w:fill="E3EAF1"/>
                  <w:hideMark/>
                </w:tcPr>
                <w:p w:rsidR="00D74DEC" w:rsidRPr="005A5B0D" w:rsidRDefault="00D74DEC" w:rsidP="001B3720">
                  <w:pPr>
                    <w:spacing w:after="0" w:line="240" w:lineRule="auto"/>
                    <w:rPr>
                      <w:rFonts w:ascii="Arial" w:hAnsi="Arial" w:cs="Arial"/>
                      <w:sz w:val="20"/>
                      <w:szCs w:val="20"/>
                    </w:rPr>
                  </w:pPr>
                </w:p>
              </w:tc>
            </w:tr>
          </w:tbl>
          <w:p w:rsidR="00D74DEC" w:rsidRPr="005A5B0D" w:rsidRDefault="00D74DEC" w:rsidP="001B3720">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rPr>
                <w:rFonts w:ascii="Arial" w:hAnsi="Arial" w:cs="Arial"/>
                <w:sz w:val="20"/>
                <w:szCs w:val="20"/>
              </w:rPr>
            </w:pPr>
            <w:r>
              <w:rPr>
                <w:rFonts w:ascii="Arial" w:hAnsi="Arial" w:cs="Arial"/>
                <w:sz w:val="20"/>
                <w:szCs w:val="20"/>
              </w:rPr>
              <w:t>1</w:t>
            </w:r>
          </w:p>
        </w:tc>
      </w:tr>
      <w:tr w:rsidR="00D74DEC" w:rsidRPr="00E31856" w:rsidTr="001B372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74DEC" w:rsidRPr="005A5B0D" w:rsidRDefault="00D74DEC" w:rsidP="001B3720">
            <w:pPr>
              <w:spacing w:after="0" w:line="240" w:lineRule="auto"/>
              <w:jc w:val="both"/>
              <w:rPr>
                <w:rFonts w:ascii="Arial" w:hAnsi="Arial" w:cs="Arial"/>
                <w:sz w:val="20"/>
                <w:szCs w:val="20"/>
              </w:rPr>
            </w:pPr>
            <w:r w:rsidRPr="005A5B0D">
              <w:rPr>
                <w:rFonts w:ascii="Arial" w:hAnsi="Arial" w:cs="Arial"/>
                <w:bCs/>
                <w:sz w:val="20"/>
                <w:szCs w:val="20"/>
              </w:rPr>
              <w:t>Nositelj/i predmeta</w:t>
            </w:r>
          </w:p>
        </w:tc>
        <w:tc>
          <w:tcPr>
            <w:tcW w:w="2776" w:type="dxa"/>
            <w:gridSpan w:val="2"/>
            <w:tcBorders>
              <w:bottom w:val="single" w:sz="12" w:space="0" w:color="auto"/>
              <w:right w:val="single" w:sz="12" w:space="0" w:color="auto"/>
            </w:tcBorders>
            <w:tcMar>
              <w:left w:w="57" w:type="dxa"/>
              <w:right w:w="57" w:type="dxa"/>
            </w:tcMar>
            <w:vAlign w:val="center"/>
          </w:tcPr>
          <w:p w:rsidR="00D74DEC" w:rsidRPr="005A5B0D" w:rsidRDefault="00D74DEC" w:rsidP="001B3720">
            <w:pPr>
              <w:spacing w:after="0" w:line="240" w:lineRule="auto"/>
              <w:rPr>
                <w:rFonts w:ascii="Arial" w:hAnsi="Arial" w:cs="Arial"/>
                <w:sz w:val="20"/>
                <w:szCs w:val="20"/>
              </w:rPr>
            </w:pPr>
            <w:r w:rsidRPr="005A5B0D">
              <w:rPr>
                <w:rFonts w:ascii="Arial" w:hAnsi="Arial" w:cs="Arial"/>
                <w:sz w:val="20"/>
                <w:szCs w:val="20"/>
              </w:rPr>
              <w:t>Prof. dr. sc. Arsen Bačić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rPr>
                <w:rFonts w:ascii="Arial" w:hAnsi="Arial" w:cs="Arial"/>
                <w:sz w:val="20"/>
                <w:szCs w:val="20"/>
              </w:rPr>
            </w:pPr>
            <w:r>
              <w:rPr>
                <w:rFonts w:ascii="Arial" w:hAnsi="Arial" w:cs="Arial"/>
                <w:sz w:val="20"/>
                <w:szCs w:val="20"/>
              </w:rPr>
              <w:t>5</w:t>
            </w:r>
          </w:p>
        </w:tc>
      </w:tr>
      <w:tr w:rsidR="00D74DEC" w:rsidRPr="00E31856" w:rsidTr="001B372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vAlign w:val="center"/>
          </w:tcPr>
          <w:p w:rsidR="00D74DEC" w:rsidRPr="00E31856" w:rsidRDefault="00D74DEC" w:rsidP="001B3720">
            <w:pPr>
              <w:spacing w:after="0" w:line="240" w:lineRule="auto"/>
              <w:rPr>
                <w:rFonts w:ascii="Arial" w:hAnsi="Arial" w:cs="Arial"/>
                <w:sz w:val="20"/>
                <w:szCs w:val="20"/>
              </w:rPr>
            </w:pPr>
            <w:r>
              <w:rPr>
                <w:rFonts w:ascii="Arial" w:hAnsi="Arial" w:cs="Arial"/>
                <w:sz w:val="20"/>
                <w:szCs w:val="20"/>
              </w:rPr>
              <w:t>Izv. p</w:t>
            </w:r>
            <w:r w:rsidRPr="00E31856">
              <w:rPr>
                <w:rFonts w:ascii="Arial" w:hAnsi="Arial" w:cs="Arial"/>
                <w:sz w:val="20"/>
                <w:szCs w:val="20"/>
              </w:rPr>
              <w:t>rof. dr. sc. Petar Bačić</w:t>
            </w:r>
          </w:p>
        </w:tc>
        <w:tc>
          <w:tcPr>
            <w:tcW w:w="2288" w:type="dxa"/>
            <w:gridSpan w:val="5"/>
            <w:vMerge w:val="restart"/>
            <w:tcBorders>
              <w:righ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P</w:t>
            </w:r>
          </w:p>
        </w:tc>
        <w:tc>
          <w:tcPr>
            <w:tcW w:w="706" w:type="dxa"/>
            <w:gridSpan w:val="3"/>
            <w:tcBorders>
              <w:bottom w:val="single" w:sz="12" w:space="0" w:color="auto"/>
              <w:right w:val="single" w:sz="12" w:space="0" w:color="auto"/>
            </w:tcBorders>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S</w:t>
            </w:r>
          </w:p>
        </w:tc>
        <w:tc>
          <w:tcPr>
            <w:tcW w:w="712" w:type="dxa"/>
            <w:tcBorders>
              <w:bottom w:val="single" w:sz="12" w:space="0" w:color="auto"/>
              <w:right w:val="single" w:sz="12" w:space="0" w:color="auto"/>
            </w:tcBorders>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V</w:t>
            </w:r>
          </w:p>
        </w:tc>
        <w:tc>
          <w:tcPr>
            <w:tcW w:w="618" w:type="dxa"/>
            <w:gridSpan w:val="2"/>
            <w:tcBorders>
              <w:bottom w:val="single" w:sz="12" w:space="0" w:color="auto"/>
              <w:right w:val="single" w:sz="12" w:space="0" w:color="auto"/>
            </w:tcBorders>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T</w:t>
            </w:r>
          </w:p>
        </w:tc>
      </w:tr>
      <w:tr w:rsidR="00D74DEC" w:rsidRPr="00E31856" w:rsidTr="001B372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p>
        </w:tc>
        <w:tc>
          <w:tcPr>
            <w:tcW w:w="2776" w:type="dxa"/>
            <w:gridSpan w:val="2"/>
            <w:vMerge/>
            <w:tcBorders>
              <w:bottom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30</w:t>
            </w:r>
          </w:p>
        </w:tc>
        <w:tc>
          <w:tcPr>
            <w:tcW w:w="706" w:type="dxa"/>
            <w:gridSpan w:val="3"/>
            <w:tcBorders>
              <w:bottom w:val="single" w:sz="12" w:space="0" w:color="auto"/>
              <w:right w:val="single" w:sz="12" w:space="0" w:color="auto"/>
            </w:tcBorders>
            <w:vAlign w:val="center"/>
          </w:tcPr>
          <w:p w:rsidR="00D74DEC" w:rsidRPr="00E31856" w:rsidRDefault="00D74DEC" w:rsidP="001B3720">
            <w:pPr>
              <w:spacing w:after="0" w:line="240" w:lineRule="auto"/>
              <w:jc w:val="both"/>
              <w:rPr>
                <w:rFonts w:ascii="Arial" w:hAnsi="Arial" w:cs="Arial"/>
                <w:sz w:val="20"/>
                <w:szCs w:val="20"/>
              </w:rPr>
            </w:pPr>
          </w:p>
        </w:tc>
        <w:tc>
          <w:tcPr>
            <w:tcW w:w="712" w:type="dxa"/>
            <w:tcBorders>
              <w:bottom w:val="single" w:sz="12" w:space="0" w:color="auto"/>
              <w:right w:val="single" w:sz="12" w:space="0" w:color="auto"/>
            </w:tcBorders>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30</w:t>
            </w:r>
          </w:p>
        </w:tc>
        <w:tc>
          <w:tcPr>
            <w:tcW w:w="618" w:type="dxa"/>
            <w:gridSpan w:val="2"/>
            <w:tcBorders>
              <w:bottom w:val="single" w:sz="12" w:space="0" w:color="auto"/>
              <w:right w:val="single" w:sz="12" w:space="0" w:color="auto"/>
            </w:tcBorders>
            <w:vAlign w:val="center"/>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rPr>
                <w:rFonts w:ascii="Arial" w:hAnsi="Arial" w:cs="Arial"/>
                <w:sz w:val="20"/>
                <w:szCs w:val="20"/>
              </w:rPr>
            </w:pPr>
            <w:r w:rsidRPr="00E31856">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rPr>
                <w:rFonts w:ascii="Arial" w:hAnsi="Arial" w:cs="Arial"/>
                <w:sz w:val="20"/>
                <w:szCs w:val="20"/>
              </w:rPr>
            </w:pPr>
            <w:r w:rsidRPr="00E31856">
              <w:rPr>
                <w:rFonts w:ascii="Arial" w:hAnsi="Arial" w:cs="Arial"/>
                <w:sz w:val="20"/>
                <w:szCs w:val="20"/>
              </w:rPr>
              <w:t>0%</w:t>
            </w:r>
          </w:p>
        </w:tc>
      </w:tr>
      <w:tr w:rsidR="00D74DEC" w:rsidRPr="00E31856" w:rsidTr="001B3720">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74DEC" w:rsidRPr="00E31856" w:rsidRDefault="00D74DEC" w:rsidP="001B3720">
            <w:pPr>
              <w:spacing w:after="0" w:line="240" w:lineRule="auto"/>
              <w:jc w:val="both"/>
              <w:rPr>
                <w:rFonts w:ascii="Arial" w:hAnsi="Arial" w:cs="Arial"/>
                <w:b/>
                <w:sz w:val="20"/>
                <w:szCs w:val="20"/>
              </w:rPr>
            </w:pPr>
            <w:r w:rsidRPr="00E31856">
              <w:rPr>
                <w:rFonts w:ascii="Arial" w:hAnsi="Arial" w:cs="Arial"/>
                <w:b/>
                <w:sz w:val="20"/>
                <w:szCs w:val="20"/>
              </w:rPr>
              <w:t>OPIS PREDMETA</w:t>
            </w:r>
          </w:p>
        </w:tc>
      </w:tr>
      <w:tr w:rsidR="00D74DEC" w:rsidRPr="00E31856" w:rsidTr="001B3720">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Informirati se o primarnom i sekundarnom gradivu koje će se koristiti u nastavi, uključujući pregled sadržaja Osnivačkih ugovora.  Razumjeti glavne faze ekonomske integracije općenito i u Europi te kako širenje ekonomske integracije utječe na političku i socijalnu sferu. Shvatiti današnju strukturu EU i povijesne razloge njenog današnjeg ustrojstva. Upoznati se s organizacijom institucija EU i njihovim ulogama i međusobnim odnosom. Upoznati se s vertikalnom diobom ovlasti između EU i država članica. Steći osnovni uvid u organizaciju i nadležnosti Suda EU temeljem Lisabonskog ugovora. Razumjeti koji putevi pravne zaštite stoje na raspolaganju različitim pravnim subjektima u okvirima prava Europske unije, i pod kojim uvjetima. Razumjeti pojam "novog pravnog poretka europskog prava" i što ga razlikuje od pravnih poredaka država članica s jedne, te pravnog poretka međunarodnog prava s druge strane. Upoznati i razumjeti ulogu Europskog suda u procesu konstitucionalizacije prava EU, te mjesto i funkciju njegovih odluka u pravnom poretku EU. Steći osnovno znanje i razumijevanje koncepta "izravnog učinka" prava EU i nadređenosti prava EU nacionalnom pravu država članica.</w:t>
            </w:r>
          </w:p>
        </w:tc>
      </w:tr>
      <w:tr w:rsidR="00D74DEC" w:rsidRPr="00E31856" w:rsidTr="001B3720">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Očekivani ishodi učenja na razini predmeta</w:t>
            </w:r>
          </w:p>
        </w:tc>
        <w:tc>
          <w:tcPr>
            <w:tcW w:w="7788" w:type="dxa"/>
            <w:gridSpan w:val="13"/>
            <w:tcBorders>
              <w:right w:val="single" w:sz="12" w:space="0" w:color="auto"/>
            </w:tcBorders>
            <w:tcMar>
              <w:left w:w="57" w:type="dxa"/>
              <w:right w:w="57" w:type="dxa"/>
            </w:tcMar>
          </w:tcPr>
          <w:p w:rsidR="00D74DEC" w:rsidRDefault="00D74DEC" w:rsidP="001B3720">
            <w:pPr>
              <w:spacing w:after="0" w:line="240" w:lineRule="auto"/>
              <w:jc w:val="both"/>
              <w:rPr>
                <w:rFonts w:ascii="Arial" w:hAnsi="Arial" w:cs="Arial"/>
                <w:sz w:val="20"/>
                <w:szCs w:val="20"/>
              </w:rPr>
            </w:pPr>
            <w:r w:rsidRPr="00E31856">
              <w:rPr>
                <w:rFonts w:ascii="Arial" w:hAnsi="Arial" w:cs="Arial"/>
                <w:sz w:val="20"/>
                <w:szCs w:val="20"/>
              </w:rPr>
              <w:t>Ishod učenja predmeta:</w:t>
            </w:r>
            <w:r w:rsidRPr="00E31856">
              <w:rPr>
                <w:rFonts w:ascii="Arial" w:hAnsi="Arial" w:cs="Arial"/>
                <w:sz w:val="20"/>
                <w:szCs w:val="20"/>
              </w:rPr>
              <w:tab/>
            </w:r>
          </w:p>
          <w:p w:rsidR="00D74DEC" w:rsidRPr="00E31856" w:rsidRDefault="00D74DEC" w:rsidP="001B3720">
            <w:pPr>
              <w:spacing w:after="0" w:line="240" w:lineRule="auto"/>
              <w:jc w:val="both"/>
              <w:rPr>
                <w:rFonts w:ascii="Arial" w:hAnsi="Arial" w:cs="Arial"/>
                <w:sz w:val="20"/>
                <w:szCs w:val="20"/>
              </w:rPr>
            </w:pPr>
          </w:p>
          <w:p w:rsidR="00D74DEC" w:rsidRPr="00E31856" w:rsidRDefault="00D74DEC" w:rsidP="00D74DEC">
            <w:pPr>
              <w:numPr>
                <w:ilvl w:val="0"/>
                <w:numId w:val="4"/>
              </w:numPr>
              <w:spacing w:after="0" w:line="240" w:lineRule="auto"/>
              <w:jc w:val="both"/>
              <w:rPr>
                <w:rFonts w:ascii="Arial" w:hAnsi="Arial" w:cs="Arial"/>
                <w:sz w:val="20"/>
                <w:szCs w:val="20"/>
              </w:rPr>
            </w:pPr>
            <w:r w:rsidRPr="00E31856">
              <w:rPr>
                <w:rFonts w:ascii="Arial" w:hAnsi="Arial" w:cs="Arial"/>
                <w:sz w:val="20"/>
                <w:szCs w:val="20"/>
              </w:rPr>
              <w:t>Analizirati sustav Europskog prava – razina 7</w:t>
            </w:r>
          </w:p>
          <w:p w:rsidR="00D74DEC" w:rsidRDefault="00D74DEC" w:rsidP="001B3720">
            <w:pPr>
              <w:spacing w:after="0" w:line="240" w:lineRule="auto"/>
              <w:jc w:val="both"/>
              <w:rPr>
                <w:rFonts w:ascii="Arial" w:hAnsi="Arial" w:cs="Arial"/>
                <w:sz w:val="20"/>
                <w:szCs w:val="20"/>
              </w:rPr>
            </w:pPr>
          </w:p>
          <w:p w:rsidR="00D74DEC" w:rsidRDefault="00D74DEC" w:rsidP="001B3720">
            <w:pPr>
              <w:spacing w:after="0" w:line="240" w:lineRule="auto"/>
              <w:jc w:val="both"/>
              <w:rPr>
                <w:rFonts w:ascii="Arial" w:hAnsi="Arial" w:cs="Arial"/>
                <w:sz w:val="20"/>
                <w:szCs w:val="20"/>
              </w:rPr>
            </w:pPr>
            <w:r>
              <w:rPr>
                <w:rFonts w:ascii="Arial" w:hAnsi="Arial" w:cs="Arial"/>
                <w:sz w:val="20"/>
                <w:szCs w:val="20"/>
              </w:rPr>
              <w:t>Pojedinačni ishodi učenja</w:t>
            </w:r>
            <w:r w:rsidRPr="00E31856">
              <w:rPr>
                <w:rFonts w:ascii="Arial" w:hAnsi="Arial" w:cs="Arial"/>
                <w:sz w:val="20"/>
                <w:szCs w:val="20"/>
              </w:rPr>
              <w:t>:</w:t>
            </w:r>
          </w:p>
          <w:p w:rsidR="00D74DEC" w:rsidRPr="00E31856" w:rsidRDefault="00D74DEC" w:rsidP="001B3720">
            <w:pPr>
              <w:spacing w:after="0" w:line="240" w:lineRule="auto"/>
              <w:jc w:val="both"/>
              <w:rPr>
                <w:rFonts w:ascii="Arial" w:hAnsi="Arial" w:cs="Arial"/>
                <w:sz w:val="20"/>
                <w:szCs w:val="20"/>
              </w:rPr>
            </w:pPr>
          </w:p>
          <w:p w:rsidR="00D74DEC" w:rsidRPr="000E437D" w:rsidRDefault="00D74DEC" w:rsidP="00D74DEC">
            <w:pPr>
              <w:pStyle w:val="ListParagraph"/>
              <w:numPr>
                <w:ilvl w:val="0"/>
                <w:numId w:val="5"/>
              </w:numPr>
              <w:spacing w:after="0" w:line="240" w:lineRule="auto"/>
              <w:jc w:val="both"/>
              <w:rPr>
                <w:rFonts w:ascii="Arial" w:hAnsi="Arial" w:cs="Arial"/>
                <w:sz w:val="20"/>
                <w:szCs w:val="20"/>
              </w:rPr>
            </w:pPr>
            <w:r w:rsidRPr="000E437D">
              <w:rPr>
                <w:rFonts w:ascii="Arial" w:hAnsi="Arial" w:cs="Arial"/>
                <w:sz w:val="20"/>
                <w:szCs w:val="20"/>
              </w:rPr>
              <w:t>utvrditi temeljne značajke pojmova iz općeg dijela Europskog prava: (pojam izvora prava, pojam institucija EU kao supranacionalne organoizacije itd). – razina 7</w:t>
            </w:r>
          </w:p>
          <w:p w:rsidR="00D74DEC" w:rsidRPr="000E437D" w:rsidRDefault="00D74DEC" w:rsidP="00D74DEC">
            <w:pPr>
              <w:pStyle w:val="ListParagraph"/>
              <w:numPr>
                <w:ilvl w:val="0"/>
                <w:numId w:val="5"/>
              </w:numPr>
              <w:spacing w:after="0" w:line="240" w:lineRule="auto"/>
              <w:jc w:val="both"/>
              <w:rPr>
                <w:rFonts w:ascii="Arial" w:hAnsi="Arial" w:cs="Arial"/>
                <w:sz w:val="20"/>
                <w:szCs w:val="20"/>
              </w:rPr>
            </w:pPr>
            <w:r w:rsidRPr="000E437D">
              <w:rPr>
                <w:rFonts w:ascii="Arial" w:hAnsi="Arial" w:cs="Arial"/>
                <w:sz w:val="20"/>
                <w:szCs w:val="20"/>
              </w:rPr>
              <w:t>procijeniti temeljne značajke EU kao supranacionalne organizacije, počevši od političkih pretpostavki osnivanja, pravnih odnosa između članova, podjele kompetencija između institucija supranacionalne organizacije) te moći usporediti razlike i sličnosti između istih; -</w:t>
            </w:r>
            <w:r>
              <w:rPr>
                <w:rFonts w:ascii="Arial" w:hAnsi="Arial" w:cs="Arial"/>
                <w:sz w:val="20"/>
                <w:szCs w:val="20"/>
              </w:rPr>
              <w:t xml:space="preserve"> </w:t>
            </w:r>
            <w:r w:rsidRPr="000E437D">
              <w:rPr>
                <w:rFonts w:ascii="Arial" w:hAnsi="Arial" w:cs="Arial"/>
                <w:sz w:val="20"/>
                <w:szCs w:val="20"/>
              </w:rPr>
              <w:t>razina 7</w:t>
            </w:r>
          </w:p>
          <w:p w:rsidR="00D74DEC" w:rsidRPr="000E437D" w:rsidRDefault="00D74DEC" w:rsidP="00D74DEC">
            <w:pPr>
              <w:pStyle w:val="ListParagraph"/>
              <w:numPr>
                <w:ilvl w:val="0"/>
                <w:numId w:val="5"/>
              </w:numPr>
              <w:spacing w:after="0" w:line="240" w:lineRule="auto"/>
              <w:jc w:val="both"/>
              <w:rPr>
                <w:rFonts w:ascii="Arial" w:hAnsi="Arial" w:cs="Arial"/>
                <w:sz w:val="20"/>
                <w:szCs w:val="20"/>
              </w:rPr>
            </w:pPr>
            <w:r w:rsidRPr="000E437D">
              <w:rPr>
                <w:rFonts w:ascii="Arial" w:hAnsi="Arial" w:cs="Arial"/>
                <w:sz w:val="20"/>
                <w:szCs w:val="20"/>
              </w:rPr>
              <w:t>procijeniti temeljne značajke najvažnijih ustavnih institucija EU, počevši od načina i pravno-političkih pretpostavki osnivanja, pravnih odnosa između institucija, podjele kompetencija između institucija...) te moći usporediti razlike i sličnosti između istih; -</w:t>
            </w:r>
            <w:r>
              <w:rPr>
                <w:rFonts w:ascii="Arial" w:hAnsi="Arial" w:cs="Arial"/>
                <w:sz w:val="20"/>
                <w:szCs w:val="20"/>
              </w:rPr>
              <w:t xml:space="preserve">  </w:t>
            </w:r>
            <w:r w:rsidRPr="000E437D">
              <w:rPr>
                <w:rFonts w:ascii="Arial" w:hAnsi="Arial" w:cs="Arial"/>
                <w:sz w:val="20"/>
                <w:szCs w:val="20"/>
              </w:rPr>
              <w:t>razina 7</w:t>
            </w:r>
          </w:p>
          <w:p w:rsidR="00D74DEC" w:rsidRPr="000E437D" w:rsidRDefault="00D74DEC" w:rsidP="00D74DEC">
            <w:pPr>
              <w:pStyle w:val="ListParagraph"/>
              <w:numPr>
                <w:ilvl w:val="0"/>
                <w:numId w:val="5"/>
              </w:numPr>
              <w:spacing w:after="0" w:line="240" w:lineRule="auto"/>
              <w:jc w:val="both"/>
              <w:rPr>
                <w:rFonts w:ascii="Arial" w:hAnsi="Arial" w:cs="Arial"/>
                <w:sz w:val="20"/>
                <w:szCs w:val="20"/>
              </w:rPr>
            </w:pPr>
            <w:r w:rsidRPr="000E437D">
              <w:rPr>
                <w:rFonts w:ascii="Arial" w:hAnsi="Arial" w:cs="Arial"/>
                <w:sz w:val="20"/>
                <w:szCs w:val="20"/>
              </w:rPr>
              <w:t>valorizirati temeljne oblike političko pravnog povezivanja institucija EU s nacionalnim državama, kao i poznavati oblike i temeljne značajke podjele vlasti između pojedinih razina EU;</w:t>
            </w:r>
            <w:r>
              <w:rPr>
                <w:rFonts w:ascii="Arial" w:hAnsi="Arial" w:cs="Arial"/>
                <w:sz w:val="20"/>
                <w:szCs w:val="20"/>
              </w:rPr>
              <w:t xml:space="preserve"> </w:t>
            </w:r>
            <w:r w:rsidRPr="000E437D">
              <w:rPr>
                <w:rFonts w:ascii="Arial" w:hAnsi="Arial" w:cs="Arial"/>
                <w:sz w:val="20"/>
                <w:szCs w:val="20"/>
              </w:rPr>
              <w:t>- razina 7</w:t>
            </w:r>
          </w:p>
          <w:p w:rsidR="00D74DEC" w:rsidRPr="000E437D" w:rsidRDefault="00D74DEC" w:rsidP="00D74DEC">
            <w:pPr>
              <w:pStyle w:val="ListParagraph"/>
              <w:numPr>
                <w:ilvl w:val="0"/>
                <w:numId w:val="5"/>
              </w:numPr>
              <w:spacing w:after="0" w:line="240" w:lineRule="auto"/>
              <w:jc w:val="both"/>
              <w:rPr>
                <w:rFonts w:ascii="Arial" w:hAnsi="Arial" w:cs="Arial"/>
                <w:sz w:val="20"/>
                <w:szCs w:val="20"/>
              </w:rPr>
            </w:pPr>
            <w:r w:rsidRPr="000E437D">
              <w:rPr>
                <w:rFonts w:ascii="Arial" w:hAnsi="Arial" w:cs="Arial"/>
                <w:sz w:val="20"/>
                <w:szCs w:val="20"/>
              </w:rPr>
              <w:t>valorizirati temeljne značajke normativnog postupka na razini temeljnih institucija EU; - razina 7</w:t>
            </w:r>
          </w:p>
          <w:p w:rsidR="00D74DEC" w:rsidRPr="000E437D" w:rsidRDefault="00D74DEC" w:rsidP="00D74DEC">
            <w:pPr>
              <w:pStyle w:val="ListParagraph"/>
              <w:numPr>
                <w:ilvl w:val="0"/>
                <w:numId w:val="5"/>
              </w:numPr>
              <w:spacing w:after="0" w:line="240" w:lineRule="auto"/>
              <w:jc w:val="both"/>
              <w:rPr>
                <w:rFonts w:ascii="Arial" w:hAnsi="Arial" w:cs="Arial"/>
                <w:sz w:val="20"/>
                <w:szCs w:val="20"/>
              </w:rPr>
            </w:pPr>
            <w:r w:rsidRPr="000E437D">
              <w:rPr>
                <w:rFonts w:ascii="Arial" w:hAnsi="Arial" w:cs="Arial"/>
                <w:sz w:val="20"/>
                <w:szCs w:val="20"/>
              </w:rPr>
              <w:t>kritički prosuđivati temeljne akte i odluke organa pojedinih institucija EU i država članica  -</w:t>
            </w:r>
            <w:r>
              <w:rPr>
                <w:rFonts w:ascii="Arial" w:hAnsi="Arial" w:cs="Arial"/>
                <w:sz w:val="20"/>
                <w:szCs w:val="20"/>
              </w:rPr>
              <w:t xml:space="preserve"> </w:t>
            </w:r>
            <w:r w:rsidRPr="000E437D">
              <w:rPr>
                <w:rFonts w:ascii="Arial" w:hAnsi="Arial" w:cs="Arial"/>
                <w:sz w:val="20"/>
                <w:szCs w:val="20"/>
              </w:rPr>
              <w:t>razina 7</w:t>
            </w:r>
          </w:p>
        </w:tc>
      </w:tr>
      <w:tr w:rsidR="00D74DEC" w:rsidRPr="00E31856" w:rsidTr="001B3720">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Sadržaj predmeta detaljno razrađen prema satnici </w:t>
            </w:r>
            <w:r w:rsidRPr="00E31856">
              <w:rPr>
                <w:rFonts w:ascii="Arial" w:hAnsi="Arial" w:cs="Arial"/>
                <w:sz w:val="20"/>
                <w:szCs w:val="20"/>
              </w:rPr>
              <w:lastRenderedPageBreak/>
              <w:t xml:space="preserve">nastave </w:t>
            </w:r>
          </w:p>
        </w:tc>
        <w:tc>
          <w:tcPr>
            <w:tcW w:w="7788" w:type="dxa"/>
            <w:gridSpan w:val="13"/>
            <w:tcBorders>
              <w:right w:val="single" w:sz="12"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7"/>
              <w:gridCol w:w="2775"/>
              <w:gridCol w:w="567"/>
              <w:gridCol w:w="5244"/>
              <w:gridCol w:w="621"/>
            </w:tblGrid>
            <w:tr w:rsidR="00D74DEC" w:rsidRPr="00E31856" w:rsidTr="001B3720">
              <w:trPr>
                <w:trHeight w:val="432"/>
              </w:trPr>
              <w:tc>
                <w:tcPr>
                  <w:tcW w:w="837" w:type="dxa"/>
                  <w:vMerge w:val="restart"/>
                  <w:shd w:val="clear" w:color="auto" w:fill="auto"/>
                </w:tcPr>
                <w:p w:rsidR="00D74DEC" w:rsidRPr="00F41218" w:rsidRDefault="00D74DEC" w:rsidP="001B3720">
                  <w:pPr>
                    <w:spacing w:after="0" w:line="240" w:lineRule="auto"/>
                    <w:jc w:val="center"/>
                    <w:rPr>
                      <w:rFonts w:ascii="Arial" w:hAnsi="Arial" w:cs="Arial"/>
                      <w:sz w:val="18"/>
                      <w:szCs w:val="20"/>
                    </w:rPr>
                  </w:pPr>
                </w:p>
                <w:p w:rsidR="00D74DEC" w:rsidRPr="00F41218" w:rsidRDefault="00D74DEC" w:rsidP="001B3720">
                  <w:pPr>
                    <w:spacing w:after="0" w:line="240" w:lineRule="auto"/>
                    <w:jc w:val="center"/>
                    <w:rPr>
                      <w:rFonts w:ascii="Arial" w:hAnsi="Arial" w:cs="Arial"/>
                      <w:b/>
                      <w:sz w:val="18"/>
                      <w:szCs w:val="20"/>
                    </w:rPr>
                  </w:pPr>
                  <w:r w:rsidRPr="00F41218">
                    <w:rPr>
                      <w:rFonts w:ascii="Arial" w:hAnsi="Arial" w:cs="Arial"/>
                      <w:b/>
                      <w:sz w:val="18"/>
                      <w:szCs w:val="20"/>
                    </w:rPr>
                    <w:t>Tjedan</w:t>
                  </w:r>
                </w:p>
              </w:tc>
              <w:tc>
                <w:tcPr>
                  <w:tcW w:w="2775" w:type="dxa"/>
                  <w:shd w:val="clear" w:color="auto" w:fill="auto"/>
                </w:tcPr>
                <w:p w:rsidR="00D74DEC" w:rsidRPr="00F41218" w:rsidRDefault="00D74DEC" w:rsidP="001B3720">
                  <w:pPr>
                    <w:spacing w:after="0" w:line="240" w:lineRule="auto"/>
                    <w:jc w:val="center"/>
                    <w:rPr>
                      <w:rFonts w:ascii="Arial" w:hAnsi="Arial" w:cs="Arial"/>
                      <w:b/>
                      <w:sz w:val="18"/>
                      <w:szCs w:val="20"/>
                    </w:rPr>
                  </w:pPr>
                  <w:r w:rsidRPr="00F41218">
                    <w:rPr>
                      <w:rFonts w:ascii="Arial" w:hAnsi="Arial" w:cs="Arial"/>
                      <w:b/>
                      <w:sz w:val="18"/>
                      <w:szCs w:val="20"/>
                    </w:rPr>
                    <w:t>PREDAVANJA</w:t>
                  </w:r>
                </w:p>
              </w:tc>
              <w:tc>
                <w:tcPr>
                  <w:tcW w:w="567" w:type="dxa"/>
                  <w:shd w:val="clear" w:color="auto" w:fill="auto"/>
                </w:tcPr>
                <w:p w:rsidR="00D74DEC" w:rsidRPr="00F41218" w:rsidRDefault="00D74DEC" w:rsidP="001B3720">
                  <w:pPr>
                    <w:spacing w:after="0" w:line="240" w:lineRule="auto"/>
                    <w:jc w:val="center"/>
                    <w:rPr>
                      <w:rFonts w:ascii="Arial" w:hAnsi="Arial" w:cs="Arial"/>
                      <w:sz w:val="18"/>
                      <w:szCs w:val="20"/>
                    </w:rPr>
                  </w:pPr>
                </w:p>
              </w:tc>
              <w:tc>
                <w:tcPr>
                  <w:tcW w:w="5244" w:type="dxa"/>
                  <w:shd w:val="clear" w:color="auto" w:fill="auto"/>
                </w:tcPr>
                <w:p w:rsidR="00D74DEC" w:rsidRPr="00F41218" w:rsidRDefault="00D74DEC" w:rsidP="001B3720">
                  <w:pPr>
                    <w:spacing w:after="0" w:line="240" w:lineRule="auto"/>
                    <w:jc w:val="center"/>
                    <w:rPr>
                      <w:rFonts w:ascii="Arial" w:hAnsi="Arial" w:cs="Arial"/>
                      <w:b/>
                      <w:sz w:val="18"/>
                      <w:szCs w:val="20"/>
                    </w:rPr>
                  </w:pPr>
                  <w:r w:rsidRPr="00F41218">
                    <w:rPr>
                      <w:rFonts w:ascii="Arial" w:hAnsi="Arial" w:cs="Arial"/>
                      <w:b/>
                      <w:sz w:val="18"/>
                      <w:szCs w:val="20"/>
                    </w:rPr>
                    <w:t>VJEŽBE</w:t>
                  </w:r>
                </w:p>
              </w:tc>
              <w:tc>
                <w:tcPr>
                  <w:tcW w:w="621" w:type="dxa"/>
                  <w:vMerge w:val="restart"/>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948"/>
              </w:trPr>
              <w:tc>
                <w:tcPr>
                  <w:tcW w:w="837" w:type="dxa"/>
                  <w:vMerge/>
                  <w:shd w:val="clear" w:color="auto" w:fill="auto"/>
                </w:tcPr>
                <w:p w:rsidR="00D74DEC" w:rsidRPr="00F41218" w:rsidRDefault="00D74DEC" w:rsidP="001B3720">
                  <w:pPr>
                    <w:spacing w:after="0" w:line="240" w:lineRule="auto"/>
                    <w:jc w:val="center"/>
                    <w:rPr>
                      <w:rFonts w:ascii="Arial" w:hAnsi="Arial" w:cs="Arial"/>
                      <w:sz w:val="18"/>
                      <w:szCs w:val="20"/>
                    </w:rPr>
                  </w:pPr>
                </w:p>
              </w:tc>
              <w:tc>
                <w:tcPr>
                  <w:tcW w:w="2775" w:type="dxa"/>
                  <w:shd w:val="clear" w:color="auto" w:fill="auto"/>
                </w:tcPr>
                <w:p w:rsidR="00D74DEC" w:rsidRPr="00F41218" w:rsidRDefault="00D74DEC" w:rsidP="001B3720">
                  <w:pPr>
                    <w:spacing w:after="0" w:line="240" w:lineRule="auto"/>
                    <w:jc w:val="center"/>
                    <w:rPr>
                      <w:rFonts w:ascii="Arial" w:hAnsi="Arial" w:cs="Arial"/>
                      <w:sz w:val="18"/>
                      <w:szCs w:val="20"/>
                    </w:rPr>
                  </w:pPr>
                </w:p>
                <w:p w:rsidR="00D74DEC" w:rsidRPr="00F41218" w:rsidRDefault="00D74DEC" w:rsidP="001B3720">
                  <w:pPr>
                    <w:spacing w:after="0" w:line="240" w:lineRule="auto"/>
                    <w:jc w:val="center"/>
                    <w:rPr>
                      <w:rFonts w:ascii="Arial" w:hAnsi="Arial" w:cs="Arial"/>
                      <w:b/>
                      <w:sz w:val="18"/>
                      <w:szCs w:val="20"/>
                    </w:rPr>
                  </w:pPr>
                  <w:r w:rsidRPr="00F41218">
                    <w:rPr>
                      <w:rFonts w:ascii="Arial" w:hAnsi="Arial" w:cs="Arial"/>
                      <w:b/>
                      <w:sz w:val="18"/>
                      <w:szCs w:val="20"/>
                    </w:rPr>
                    <w:t>Tema</w:t>
                  </w:r>
                </w:p>
              </w:tc>
              <w:tc>
                <w:tcPr>
                  <w:tcW w:w="567" w:type="dxa"/>
                  <w:shd w:val="clear" w:color="auto" w:fill="auto"/>
                </w:tcPr>
                <w:p w:rsidR="00D74DEC" w:rsidRPr="00F41218" w:rsidRDefault="00D74DEC" w:rsidP="001B3720">
                  <w:pPr>
                    <w:spacing w:after="0" w:line="240" w:lineRule="auto"/>
                    <w:jc w:val="center"/>
                    <w:rPr>
                      <w:rFonts w:ascii="Arial" w:hAnsi="Arial" w:cs="Arial"/>
                      <w:b/>
                      <w:sz w:val="18"/>
                      <w:szCs w:val="20"/>
                    </w:rPr>
                  </w:pPr>
                </w:p>
                <w:p w:rsidR="00D74DEC" w:rsidRPr="00F41218" w:rsidRDefault="00D74DEC" w:rsidP="001B3720">
                  <w:pPr>
                    <w:spacing w:after="0" w:line="240" w:lineRule="auto"/>
                    <w:jc w:val="center"/>
                    <w:rPr>
                      <w:rFonts w:ascii="Arial" w:hAnsi="Arial" w:cs="Arial"/>
                      <w:b/>
                      <w:sz w:val="18"/>
                      <w:szCs w:val="20"/>
                    </w:rPr>
                  </w:pPr>
                  <w:r w:rsidRPr="00F41218">
                    <w:rPr>
                      <w:rFonts w:ascii="Arial" w:hAnsi="Arial" w:cs="Arial"/>
                      <w:b/>
                      <w:sz w:val="18"/>
                      <w:szCs w:val="20"/>
                    </w:rPr>
                    <w:t>Sati</w:t>
                  </w:r>
                </w:p>
              </w:tc>
              <w:tc>
                <w:tcPr>
                  <w:tcW w:w="5244" w:type="dxa"/>
                  <w:shd w:val="clear" w:color="auto" w:fill="auto"/>
                </w:tcPr>
                <w:p w:rsidR="00D74DEC" w:rsidRPr="00F41218" w:rsidRDefault="00D74DEC" w:rsidP="001B3720">
                  <w:pPr>
                    <w:spacing w:after="0" w:line="240" w:lineRule="auto"/>
                    <w:jc w:val="center"/>
                    <w:rPr>
                      <w:rFonts w:ascii="Arial" w:hAnsi="Arial" w:cs="Arial"/>
                      <w:sz w:val="18"/>
                      <w:szCs w:val="20"/>
                    </w:rPr>
                  </w:pPr>
                </w:p>
                <w:p w:rsidR="00D74DEC" w:rsidRPr="00F41218" w:rsidRDefault="00D74DEC" w:rsidP="001B3720">
                  <w:pPr>
                    <w:spacing w:after="0" w:line="240" w:lineRule="auto"/>
                    <w:jc w:val="center"/>
                    <w:rPr>
                      <w:rFonts w:ascii="Arial" w:hAnsi="Arial" w:cs="Arial"/>
                      <w:b/>
                      <w:sz w:val="18"/>
                      <w:szCs w:val="20"/>
                    </w:rPr>
                  </w:pPr>
                  <w:r w:rsidRPr="00F41218">
                    <w:rPr>
                      <w:rFonts w:ascii="Arial" w:hAnsi="Arial" w:cs="Arial"/>
                      <w:b/>
                      <w:sz w:val="18"/>
                      <w:szCs w:val="20"/>
                    </w:rPr>
                    <w:t>Tema</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612"/>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w:t>
                  </w:r>
                </w:p>
              </w:tc>
              <w:tc>
                <w:tcPr>
                  <w:tcW w:w="2775"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Orijentacija u predmetu, izvori prava EU, institucije EU – 1</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Pr="00E31856" w:rsidRDefault="00D74DEC" w:rsidP="001B3720">
                  <w:pPr>
                    <w:spacing w:after="0" w:line="240" w:lineRule="auto"/>
                    <w:jc w:val="both"/>
                    <w:rPr>
                      <w:rFonts w:ascii="Arial" w:hAnsi="Arial" w:cs="Arial"/>
                      <w:sz w:val="20"/>
                      <w:szCs w:val="20"/>
                    </w:rPr>
                  </w:pPr>
                  <w:r w:rsidRPr="009C4656">
                    <w:rPr>
                      <w:rFonts w:ascii="Arial" w:hAnsi="Arial" w:cs="Arial"/>
                      <w:sz w:val="20"/>
                      <w:szCs w:val="20"/>
                    </w:rPr>
                    <w:t xml:space="preserve">Ugovor iz Lisabona </w:t>
                  </w:r>
                </w:p>
              </w:tc>
              <w:tc>
                <w:tcPr>
                  <w:tcW w:w="621" w:type="dxa"/>
                  <w:vMerge w:val="restart"/>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636"/>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2775"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Orijentacija u predmetu, izvori prava EU, institucije EU - 2</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Default="005642A8" w:rsidP="001B3720">
                  <w:pPr>
                    <w:spacing w:after="0" w:line="240" w:lineRule="auto"/>
                    <w:jc w:val="both"/>
                    <w:rPr>
                      <w:rFonts w:ascii="Arial" w:hAnsi="Arial" w:cs="Arial"/>
                      <w:sz w:val="20"/>
                      <w:szCs w:val="20"/>
                    </w:rPr>
                  </w:pPr>
                  <w:hyperlink r:id="rId7" w:tgtFrame="_blank" w:history="1">
                    <w:r w:rsidR="00D74DEC">
                      <w:rPr>
                        <w:rStyle w:val="Hyperlink"/>
                        <w:rFonts w:ascii="Arial" w:hAnsi="Arial" w:cs="Arial"/>
                        <w:sz w:val="20"/>
                        <w:szCs w:val="20"/>
                      </w:rPr>
                      <w:t>Faze</w:t>
                    </w:r>
                    <w:r w:rsidR="00D74DEC" w:rsidRPr="00E31856">
                      <w:rPr>
                        <w:rStyle w:val="Hyperlink"/>
                        <w:rFonts w:ascii="Arial" w:hAnsi="Arial" w:cs="Arial"/>
                        <w:sz w:val="20"/>
                        <w:szCs w:val="20"/>
                      </w:rPr>
                      <w:t xml:space="preserve"> ekonomske integracije</w:t>
                    </w:r>
                  </w:hyperlink>
                  <w:r w:rsidR="00D74DEC" w:rsidRPr="00E31856">
                    <w:rPr>
                      <w:rFonts w:ascii="Arial" w:hAnsi="Arial" w:cs="Arial"/>
                      <w:sz w:val="20"/>
                      <w:szCs w:val="20"/>
                    </w:rPr>
                    <w:t xml:space="preserve">, </w:t>
                  </w:r>
                </w:p>
                <w:p w:rsidR="00D74DEC" w:rsidRPr="00E31856" w:rsidRDefault="005642A8" w:rsidP="001B3720">
                  <w:pPr>
                    <w:spacing w:after="0" w:line="240" w:lineRule="auto"/>
                    <w:jc w:val="both"/>
                    <w:rPr>
                      <w:rFonts w:ascii="Arial" w:hAnsi="Arial" w:cs="Arial"/>
                      <w:sz w:val="20"/>
                      <w:szCs w:val="20"/>
                    </w:rPr>
                  </w:pPr>
                  <w:hyperlink r:id="rId8" w:tgtFrame="_blank" w:history="1">
                    <w:r w:rsidR="00D74DEC" w:rsidRPr="00E31856">
                      <w:rPr>
                        <w:rStyle w:val="Hyperlink"/>
                        <w:rFonts w:ascii="Arial" w:hAnsi="Arial" w:cs="Arial"/>
                        <w:sz w:val="20"/>
                        <w:szCs w:val="20"/>
                      </w:rPr>
                      <w:t>Schumanova deklaracija</w:t>
                    </w:r>
                  </w:hyperlink>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624"/>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3</w:t>
                  </w:r>
                </w:p>
              </w:tc>
              <w:tc>
                <w:tcPr>
                  <w:tcW w:w="2775"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Novi pravni poredak; Kako čitati odluke ES </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bCs/>
                      <w:sz w:val="20"/>
                      <w:szCs w:val="20"/>
                    </w:rPr>
                    <w:t>Sud EU</w:t>
                  </w:r>
                  <w:r>
                    <w:rPr>
                      <w:rFonts w:ascii="Arial" w:hAnsi="Arial" w:cs="Arial"/>
                      <w:b/>
                      <w:bCs/>
                      <w:sz w:val="20"/>
                      <w:szCs w:val="20"/>
                    </w:rPr>
                    <w:t xml:space="preserve">: </w:t>
                  </w:r>
                  <w:r w:rsidRPr="00E31856">
                    <w:rPr>
                      <w:rFonts w:ascii="Arial" w:hAnsi="Arial" w:cs="Arial"/>
                      <w:sz w:val="20"/>
                      <w:szCs w:val="20"/>
                    </w:rPr>
                    <w:t>Relevantne odredbe Ugovora iz Lisabona </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660"/>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4</w:t>
                  </w:r>
                </w:p>
              </w:tc>
              <w:tc>
                <w:tcPr>
                  <w:tcW w:w="2775"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Nadređenost - nacionalna perspektiva i obveze nacionalnih sudova</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Default="005642A8" w:rsidP="001B3720">
                  <w:pPr>
                    <w:spacing w:after="0" w:line="240" w:lineRule="auto"/>
                    <w:jc w:val="both"/>
                    <w:rPr>
                      <w:rFonts w:ascii="Arial" w:hAnsi="Arial" w:cs="Arial"/>
                      <w:sz w:val="20"/>
                      <w:szCs w:val="20"/>
                    </w:rPr>
                  </w:pPr>
                  <w:hyperlink r:id="rId9" w:tgtFrame="_blank" w:history="1">
                    <w:r w:rsidR="00D74DEC" w:rsidRPr="00E31856">
                      <w:rPr>
                        <w:rStyle w:val="Hyperlink"/>
                        <w:rFonts w:ascii="Arial" w:hAnsi="Arial" w:cs="Arial"/>
                        <w:sz w:val="20"/>
                        <w:szCs w:val="20"/>
                      </w:rPr>
                      <w:t>Odluka Europskog suda u predmetu Van Gend en Loos</w:t>
                    </w:r>
                  </w:hyperlink>
                  <w:r w:rsidR="00D74DEC" w:rsidRPr="00E31856">
                    <w:rPr>
                      <w:rFonts w:ascii="Arial" w:hAnsi="Arial" w:cs="Arial"/>
                      <w:sz w:val="20"/>
                      <w:szCs w:val="20"/>
                    </w:rPr>
                    <w:t xml:space="preserve">, </w:t>
                  </w:r>
                </w:p>
                <w:p w:rsidR="00D74DEC" w:rsidRDefault="00D74DEC" w:rsidP="001B3720">
                  <w:pPr>
                    <w:spacing w:after="0" w:line="240" w:lineRule="auto"/>
                    <w:jc w:val="both"/>
                    <w:rPr>
                      <w:rFonts w:ascii="Arial" w:hAnsi="Arial" w:cs="Arial"/>
                      <w:sz w:val="20"/>
                      <w:szCs w:val="20"/>
                    </w:rPr>
                  </w:pPr>
                </w:p>
                <w:p w:rsidR="00D74DEC" w:rsidRPr="00E31856" w:rsidRDefault="005642A8" w:rsidP="001B3720">
                  <w:pPr>
                    <w:spacing w:after="0" w:line="240" w:lineRule="auto"/>
                    <w:jc w:val="both"/>
                    <w:rPr>
                      <w:rFonts w:ascii="Arial" w:hAnsi="Arial" w:cs="Arial"/>
                      <w:sz w:val="20"/>
                      <w:szCs w:val="20"/>
                    </w:rPr>
                  </w:pPr>
                  <w:hyperlink r:id="rId10" w:tgtFrame="_blank" w:history="1">
                    <w:r w:rsidR="00D74DEC" w:rsidRPr="00E31856">
                      <w:rPr>
                        <w:rStyle w:val="Hyperlink"/>
                        <w:rFonts w:ascii="Arial" w:hAnsi="Arial" w:cs="Arial"/>
                        <w:sz w:val="20"/>
                        <w:szCs w:val="20"/>
                      </w:rPr>
                      <w:t>Odluka Europskog suda u predmetu Costa v. ENEL</w:t>
                    </w:r>
                  </w:hyperlink>
                  <w:r w:rsidR="00D74DEC" w:rsidRPr="00E31856">
                    <w:rPr>
                      <w:rFonts w:ascii="Arial" w:hAnsi="Arial" w:cs="Arial"/>
                      <w:sz w:val="20"/>
                      <w:szCs w:val="20"/>
                    </w:rPr>
                    <w:t xml:space="preserve">, Eric Stein, Lawyers, Judges, and the Making of a Transnational Constitution, 75 Am. J. Int'l L. 1 1981, G. </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612"/>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5</w:t>
                  </w:r>
                </w:p>
              </w:tc>
              <w:tc>
                <w:tcPr>
                  <w:tcW w:w="2775"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Odgovornost države za štetu zbog povrede prava Unije</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Default="00D74DEC" w:rsidP="001B3720">
                  <w:pPr>
                    <w:spacing w:after="0" w:line="240" w:lineRule="auto"/>
                    <w:jc w:val="both"/>
                    <w:rPr>
                      <w:rFonts w:ascii="Arial" w:hAnsi="Arial" w:cs="Arial"/>
                      <w:sz w:val="20"/>
                      <w:szCs w:val="20"/>
                    </w:rPr>
                  </w:pPr>
                  <w:r w:rsidRPr="00FA6E4B">
                    <w:rPr>
                      <w:rFonts w:ascii="Arial" w:hAnsi="Arial" w:cs="Arial"/>
                      <w:bCs/>
                      <w:sz w:val="20"/>
                      <w:szCs w:val="20"/>
                    </w:rPr>
                    <w:t>P</w:t>
                  </w:r>
                  <w:r w:rsidRPr="00FA6E4B">
                    <w:rPr>
                      <w:rFonts w:ascii="Arial" w:hAnsi="Arial" w:cs="Arial"/>
                      <w:sz w:val="20"/>
                      <w:szCs w:val="20"/>
                    </w:rPr>
                    <w:t>resuda u predmetu </w:t>
                  </w:r>
                  <w:hyperlink r:id="rId11" w:anchor="texte" w:tgtFrame="_blank" w:history="1">
                    <w:r w:rsidRPr="00FA6E4B">
                      <w:rPr>
                        <w:rStyle w:val="Hyperlink"/>
                        <w:rFonts w:ascii="Arial" w:hAnsi="Arial" w:cs="Arial"/>
                        <w:sz w:val="20"/>
                        <w:szCs w:val="20"/>
                      </w:rPr>
                      <w:t>C-224/01 Köbler</w:t>
                    </w:r>
                  </w:hyperlink>
                  <w:r w:rsidRPr="00FA6E4B">
                    <w:rPr>
                      <w:rFonts w:ascii="Arial" w:hAnsi="Arial" w:cs="Arial"/>
                      <w:sz w:val="20"/>
                      <w:szCs w:val="20"/>
                    </w:rPr>
                    <w:t xml:space="preserve"> i mišljenje Nezavisnog odvjetnika Légera. </w:t>
                  </w:r>
                </w:p>
                <w:p w:rsidR="00D74DEC" w:rsidRPr="00FA6E4B" w:rsidRDefault="00D74DEC" w:rsidP="001B3720">
                  <w:pPr>
                    <w:spacing w:after="0" w:line="240" w:lineRule="auto"/>
                    <w:jc w:val="both"/>
                    <w:rPr>
                      <w:rFonts w:ascii="Arial" w:hAnsi="Arial" w:cs="Arial"/>
                      <w:sz w:val="20"/>
                      <w:szCs w:val="20"/>
                    </w:rPr>
                  </w:pPr>
                  <w:r w:rsidRPr="00FA6E4B">
                    <w:rPr>
                      <w:rFonts w:ascii="Arial" w:hAnsi="Arial" w:cs="Arial"/>
                      <w:sz w:val="20"/>
                      <w:szCs w:val="20"/>
                    </w:rPr>
                    <w:t xml:space="preserve">Koja se sve tijela mogu smatrati "državom"?  </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516"/>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6</w:t>
                  </w:r>
                </w:p>
              </w:tc>
              <w:tc>
                <w:tcPr>
                  <w:tcW w:w="2775" w:type="dxa"/>
                  <w:shd w:val="clear" w:color="auto" w:fill="auto"/>
                </w:tcPr>
                <w:p w:rsidR="00D74DEC" w:rsidRPr="00E31856" w:rsidRDefault="00D74DEC" w:rsidP="001B3720">
                  <w:pPr>
                    <w:spacing w:after="0" w:line="240" w:lineRule="auto"/>
                    <w:jc w:val="both"/>
                    <w:rPr>
                      <w:rFonts w:ascii="Arial" w:hAnsi="Arial" w:cs="Arial"/>
                      <w:b/>
                      <w:sz w:val="20"/>
                      <w:szCs w:val="20"/>
                    </w:rPr>
                  </w:pPr>
                  <w:r w:rsidRPr="00E31856">
                    <w:rPr>
                      <w:rFonts w:ascii="Arial" w:hAnsi="Arial" w:cs="Arial"/>
                      <w:bCs/>
                      <w:sz w:val="20"/>
                      <w:szCs w:val="20"/>
                    </w:rPr>
                    <w:t>Prenesene ovlasti, supsidijarnost i proporcionalnost</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Default="005642A8" w:rsidP="001B3720">
                  <w:pPr>
                    <w:spacing w:after="0" w:line="240" w:lineRule="auto"/>
                    <w:jc w:val="both"/>
                    <w:rPr>
                      <w:rFonts w:ascii="Arial" w:hAnsi="Arial" w:cs="Arial"/>
                      <w:sz w:val="20"/>
                      <w:szCs w:val="20"/>
                    </w:rPr>
                  </w:pPr>
                  <w:hyperlink r:id="rId12" w:tgtFrame="_blank" w:history="1">
                    <w:r w:rsidR="00D74DEC" w:rsidRPr="00E31856">
                      <w:rPr>
                        <w:rStyle w:val="Hyperlink"/>
                        <w:rFonts w:ascii="Arial" w:hAnsi="Arial" w:cs="Arial"/>
                        <w:sz w:val="20"/>
                        <w:szCs w:val="20"/>
                      </w:rPr>
                      <w:t>Relevatni članci Ugovora</w:t>
                    </w:r>
                  </w:hyperlink>
                  <w:r w:rsidR="00D74DEC" w:rsidRPr="00E31856">
                    <w:rPr>
                      <w:rFonts w:ascii="Arial" w:hAnsi="Arial" w:cs="Arial"/>
                      <w:sz w:val="20"/>
                      <w:szCs w:val="20"/>
                    </w:rPr>
                    <w:t xml:space="preserve">, </w:t>
                  </w:r>
                  <w:hyperlink r:id="rId13" w:tgtFrame="_blank" w:history="1">
                    <w:r w:rsidR="00D74DEC" w:rsidRPr="00E31856">
                      <w:rPr>
                        <w:rStyle w:val="Hyperlink"/>
                        <w:rFonts w:ascii="Arial" w:hAnsi="Arial" w:cs="Arial"/>
                        <w:sz w:val="20"/>
                        <w:szCs w:val="20"/>
                      </w:rPr>
                      <w:t>ERTA</w:t>
                    </w:r>
                  </w:hyperlink>
                  <w:r w:rsidR="00D74DEC" w:rsidRPr="00E31856">
                    <w:rPr>
                      <w:rFonts w:ascii="Arial" w:hAnsi="Arial" w:cs="Arial"/>
                      <w:sz w:val="20"/>
                      <w:szCs w:val="20"/>
                    </w:rPr>
                    <w:t xml:space="preserve">, </w:t>
                  </w:r>
                </w:p>
                <w:p w:rsidR="00D74DEC" w:rsidRPr="00E31856" w:rsidRDefault="005642A8" w:rsidP="001B3720">
                  <w:pPr>
                    <w:spacing w:after="0" w:line="240" w:lineRule="auto"/>
                    <w:jc w:val="both"/>
                    <w:rPr>
                      <w:rFonts w:ascii="Arial" w:hAnsi="Arial" w:cs="Arial"/>
                      <w:sz w:val="20"/>
                      <w:szCs w:val="20"/>
                    </w:rPr>
                  </w:pPr>
                  <w:hyperlink r:id="rId14" w:tgtFrame="_blank" w:history="1">
                    <w:r w:rsidR="00D74DEC" w:rsidRPr="00E31856">
                      <w:rPr>
                        <w:rStyle w:val="Hyperlink"/>
                        <w:rFonts w:ascii="Arial" w:hAnsi="Arial" w:cs="Arial"/>
                        <w:sz w:val="20"/>
                        <w:szCs w:val="20"/>
                      </w:rPr>
                      <w:t>Tobacco Advertising</w:t>
                    </w:r>
                  </w:hyperlink>
                  <w:r w:rsidR="00D74DEC" w:rsidRPr="00E31856">
                    <w:rPr>
                      <w:rFonts w:ascii="Arial" w:hAnsi="Arial" w:cs="Arial"/>
                      <w:sz w:val="20"/>
                      <w:szCs w:val="20"/>
                    </w:rPr>
                    <w:t>,</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660"/>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7</w:t>
                  </w:r>
                </w:p>
              </w:tc>
              <w:tc>
                <w:tcPr>
                  <w:tcW w:w="2775" w:type="dxa"/>
                  <w:shd w:val="clear" w:color="auto" w:fill="auto"/>
                </w:tcPr>
                <w:p w:rsidR="00D74DEC" w:rsidRPr="00E31856" w:rsidRDefault="00D74DEC" w:rsidP="001B3720">
                  <w:pPr>
                    <w:spacing w:after="0" w:line="240" w:lineRule="auto"/>
                    <w:jc w:val="both"/>
                    <w:rPr>
                      <w:rFonts w:ascii="Arial" w:hAnsi="Arial" w:cs="Arial"/>
                      <w:bCs/>
                      <w:sz w:val="20"/>
                      <w:szCs w:val="20"/>
                    </w:rPr>
                  </w:pPr>
                  <w:r w:rsidRPr="00E31856">
                    <w:rPr>
                      <w:rFonts w:ascii="Arial" w:hAnsi="Arial" w:cs="Arial"/>
                      <w:bCs/>
                      <w:sz w:val="20"/>
                      <w:szCs w:val="20"/>
                    </w:rPr>
                    <w:t>EU i međunarodni ugovori</w:t>
                  </w:r>
                </w:p>
                <w:p w:rsidR="00D74DEC" w:rsidRPr="00E31856" w:rsidRDefault="00D74DEC" w:rsidP="001B3720">
                  <w:pPr>
                    <w:spacing w:after="0" w:line="240" w:lineRule="auto"/>
                    <w:jc w:val="both"/>
                    <w:rPr>
                      <w:rFonts w:ascii="Arial" w:hAnsi="Arial" w:cs="Arial"/>
                      <w:sz w:val="20"/>
                      <w:szCs w:val="20"/>
                    </w:rPr>
                  </w:pP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Pr="00E31856" w:rsidRDefault="005642A8" w:rsidP="001B3720">
                  <w:pPr>
                    <w:spacing w:after="0" w:line="240" w:lineRule="auto"/>
                    <w:jc w:val="both"/>
                    <w:rPr>
                      <w:rFonts w:ascii="Arial" w:hAnsi="Arial" w:cs="Arial"/>
                      <w:sz w:val="20"/>
                      <w:szCs w:val="20"/>
                    </w:rPr>
                  </w:pPr>
                  <w:hyperlink r:id="rId15" w:history="1">
                    <w:r w:rsidR="00D74DEC" w:rsidRPr="00E31856">
                      <w:rPr>
                        <w:rStyle w:val="Hyperlink"/>
                        <w:rFonts w:ascii="Arial" w:hAnsi="Arial" w:cs="Arial"/>
                        <w:sz w:val="20"/>
                        <w:szCs w:val="20"/>
                      </w:rPr>
                      <w:t>spojeni predmeti </w:t>
                    </w:r>
                    <w:r w:rsidR="00D74DEC" w:rsidRPr="00E31856">
                      <w:rPr>
                        <w:rStyle w:val="Hyperlink"/>
                        <w:rFonts w:ascii="Arial" w:hAnsi="Arial" w:cs="Arial"/>
                        <w:iCs/>
                        <w:sz w:val="20"/>
                        <w:szCs w:val="20"/>
                      </w:rPr>
                      <w:t>C-402/05 P and C-415/05 P Yassin Abdullah Kadi and Al Barakaat International Foundation v Council of the European Union and Commission of the European Communities (KadiI)</w:t>
                    </w:r>
                  </w:hyperlink>
                  <w:r w:rsidR="00D74DEC" w:rsidRPr="00E31856">
                    <w:rPr>
                      <w:rFonts w:ascii="Arial" w:hAnsi="Arial" w:cs="Arial"/>
                      <w:sz w:val="20"/>
                      <w:szCs w:val="20"/>
                    </w:rPr>
                    <w:t>spojeni predmeti </w:t>
                  </w:r>
                  <w:hyperlink r:id="rId16" w:history="1">
                    <w:r w:rsidR="00D74DEC" w:rsidRPr="00E31856">
                      <w:rPr>
                        <w:rStyle w:val="Hyperlink"/>
                        <w:rFonts w:ascii="Arial" w:hAnsi="Arial" w:cs="Arial"/>
                        <w:iCs/>
                        <w:sz w:val="20"/>
                        <w:szCs w:val="20"/>
                      </w:rPr>
                      <w:t>C</w:t>
                    </w:r>
                    <w:r w:rsidR="00D74DEC" w:rsidRPr="00E31856">
                      <w:rPr>
                        <w:rStyle w:val="Hyperlink"/>
                        <w:rFonts w:ascii="Arial" w:hAnsi="Arial" w:cs="Arial"/>
                        <w:iCs/>
                        <w:sz w:val="20"/>
                        <w:szCs w:val="20"/>
                      </w:rPr>
                      <w:noBreakHyphen/>
                      <w:t>584/10 P, C</w:t>
                    </w:r>
                    <w:r w:rsidR="00D74DEC" w:rsidRPr="00E31856">
                      <w:rPr>
                        <w:rStyle w:val="Hyperlink"/>
                        <w:rFonts w:ascii="Arial" w:hAnsi="Arial" w:cs="Arial"/>
                        <w:iCs/>
                        <w:sz w:val="20"/>
                        <w:szCs w:val="20"/>
                      </w:rPr>
                      <w:noBreakHyphen/>
                      <w:t>593/10 P and C</w:t>
                    </w:r>
                    <w:r w:rsidR="00D74DEC" w:rsidRPr="00E31856">
                      <w:rPr>
                        <w:rStyle w:val="Hyperlink"/>
                        <w:rFonts w:ascii="Arial" w:hAnsi="Arial" w:cs="Arial"/>
                        <w:iCs/>
                        <w:sz w:val="20"/>
                        <w:szCs w:val="20"/>
                      </w:rPr>
                      <w:noBreakHyphen/>
                      <w:t>595/10 P (Kadi II)</w:t>
                    </w:r>
                  </w:hyperlink>
                  <w:r w:rsidR="00D74DEC" w:rsidRPr="00E31856">
                    <w:rPr>
                      <w:rFonts w:ascii="Arial" w:hAnsi="Arial" w:cs="Arial"/>
                      <w:sz w:val="20"/>
                      <w:szCs w:val="20"/>
                    </w:rPr>
                    <w:t xml:space="preserve">, </w:t>
                  </w:r>
                  <w:hyperlink r:id="rId17" w:tgtFrame="_blank" w:history="1">
                    <w:r w:rsidR="00D74DEC" w:rsidRPr="00E31856">
                      <w:rPr>
                        <w:rStyle w:val="Hyperlink"/>
                        <w:rFonts w:ascii="Arial" w:hAnsi="Arial" w:cs="Arial"/>
                        <w:sz w:val="20"/>
                        <w:szCs w:val="20"/>
                      </w:rPr>
                      <w:t>22/70 Commission v. Council (ERTA)</w:t>
                    </w:r>
                  </w:hyperlink>
                  <w:r w:rsidR="00D74DEC" w:rsidRPr="00E31856">
                    <w:rPr>
                      <w:rFonts w:ascii="Arial" w:hAnsi="Arial" w:cs="Arial"/>
                      <w:sz w:val="20"/>
                      <w:szCs w:val="20"/>
                    </w:rPr>
                    <w:t xml:space="preserve">, </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636"/>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8</w:t>
                  </w:r>
                </w:p>
              </w:tc>
              <w:tc>
                <w:tcPr>
                  <w:tcW w:w="2775" w:type="dxa"/>
                  <w:shd w:val="clear" w:color="auto" w:fill="auto"/>
                </w:tcPr>
                <w:p w:rsidR="00D74DEC" w:rsidRPr="00E31856" w:rsidRDefault="00D74DEC" w:rsidP="001B3720">
                  <w:pPr>
                    <w:spacing w:after="0" w:line="240" w:lineRule="auto"/>
                    <w:jc w:val="both"/>
                    <w:rPr>
                      <w:rFonts w:ascii="Arial" w:hAnsi="Arial" w:cs="Arial"/>
                      <w:bCs/>
                      <w:sz w:val="20"/>
                      <w:szCs w:val="20"/>
                    </w:rPr>
                  </w:pPr>
                  <w:r w:rsidRPr="00E31856">
                    <w:rPr>
                      <w:rFonts w:ascii="Arial" w:hAnsi="Arial" w:cs="Arial"/>
                      <w:bCs/>
                      <w:sz w:val="20"/>
                      <w:szCs w:val="20"/>
                    </w:rPr>
                    <w:t xml:space="preserve">Horizontalan izravan učinak Osnivačkih ugovora </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Pr="00E31856" w:rsidRDefault="005642A8" w:rsidP="001B3720">
                  <w:pPr>
                    <w:spacing w:after="0" w:line="240" w:lineRule="auto"/>
                    <w:jc w:val="both"/>
                    <w:rPr>
                      <w:rFonts w:ascii="Arial" w:hAnsi="Arial" w:cs="Arial"/>
                      <w:sz w:val="20"/>
                      <w:szCs w:val="20"/>
                    </w:rPr>
                  </w:pPr>
                  <w:hyperlink r:id="rId18" w:tgtFrame="_blank" w:history="1">
                    <w:r w:rsidR="00D74DEC" w:rsidRPr="00E31856">
                      <w:rPr>
                        <w:rStyle w:val="Hyperlink"/>
                        <w:rFonts w:ascii="Arial" w:hAnsi="Arial" w:cs="Arial"/>
                        <w:sz w:val="20"/>
                        <w:szCs w:val="20"/>
                      </w:rPr>
                      <w:t>Predmet Walrave and Koch</w:t>
                    </w:r>
                  </w:hyperlink>
                  <w:r w:rsidR="00D74DEC" w:rsidRPr="00E31856">
                    <w:rPr>
                      <w:rFonts w:ascii="Arial" w:hAnsi="Arial" w:cs="Arial"/>
                      <w:sz w:val="20"/>
                      <w:szCs w:val="20"/>
                    </w:rPr>
                    <w:t xml:space="preserve">, </w:t>
                  </w:r>
                  <w:hyperlink r:id="rId19" w:tgtFrame="_blank" w:history="1">
                    <w:r w:rsidR="00D74DEC" w:rsidRPr="00E31856">
                      <w:rPr>
                        <w:rStyle w:val="Hyperlink"/>
                        <w:rFonts w:ascii="Arial" w:hAnsi="Arial" w:cs="Arial"/>
                        <w:sz w:val="20"/>
                        <w:szCs w:val="20"/>
                      </w:rPr>
                      <w:t>Predmet Defrenne 2</w:t>
                    </w:r>
                  </w:hyperlink>
                  <w:r w:rsidR="00D74DEC" w:rsidRPr="00E31856">
                    <w:rPr>
                      <w:rFonts w:ascii="Arial" w:hAnsi="Arial" w:cs="Arial"/>
                      <w:sz w:val="20"/>
                      <w:szCs w:val="20"/>
                    </w:rPr>
                    <w:t>, Predmet Kucukdeveci</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456"/>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9</w:t>
                  </w:r>
                </w:p>
              </w:tc>
              <w:tc>
                <w:tcPr>
                  <w:tcW w:w="2775"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Sekundarno pravo i izravni činak</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Pr="00E31856" w:rsidRDefault="005642A8" w:rsidP="001B3720">
                  <w:pPr>
                    <w:spacing w:after="0" w:line="240" w:lineRule="auto"/>
                    <w:jc w:val="both"/>
                    <w:rPr>
                      <w:rFonts w:ascii="Arial" w:hAnsi="Arial" w:cs="Arial"/>
                      <w:sz w:val="20"/>
                      <w:szCs w:val="20"/>
                    </w:rPr>
                  </w:pPr>
                  <w:hyperlink r:id="rId20" w:history="1">
                    <w:r w:rsidR="00D74DEC" w:rsidRPr="00E31856">
                      <w:rPr>
                        <w:rStyle w:val="Hyperlink"/>
                        <w:rFonts w:ascii="Arial" w:hAnsi="Arial" w:cs="Arial"/>
                        <w:sz w:val="20"/>
                        <w:szCs w:val="20"/>
                      </w:rPr>
                      <w:t>članci UFEU koji se odnose na akte institucija EU</w:t>
                    </w:r>
                  </w:hyperlink>
                  <w:r w:rsidR="00D74DEC" w:rsidRPr="00E31856">
                    <w:rPr>
                      <w:rFonts w:ascii="Arial" w:hAnsi="Arial" w:cs="Arial"/>
                      <w:sz w:val="20"/>
                      <w:szCs w:val="20"/>
                    </w:rPr>
                    <w:t xml:space="preserve">, </w:t>
                  </w:r>
                  <w:hyperlink r:id="rId21" w:history="1">
                    <w:r w:rsidR="00D74DEC" w:rsidRPr="00E31856">
                      <w:rPr>
                        <w:rStyle w:val="Hyperlink"/>
                        <w:rFonts w:ascii="Arial" w:hAnsi="Arial" w:cs="Arial"/>
                        <w:sz w:val="20"/>
                        <w:szCs w:val="20"/>
                      </w:rPr>
                      <w:t>PPT Pravni akti</w:t>
                    </w:r>
                  </w:hyperlink>
                  <w:r w:rsidR="00D74DEC" w:rsidRPr="00E31856">
                    <w:rPr>
                      <w:rFonts w:ascii="Arial" w:hAnsi="Arial" w:cs="Arial"/>
                      <w:sz w:val="20"/>
                      <w:szCs w:val="20"/>
                    </w:rPr>
                    <w:t xml:space="preserve">, </w:t>
                  </w:r>
                  <w:hyperlink r:id="rId22" w:tgtFrame="_blank" w:history="1">
                    <w:r w:rsidR="00D74DEC" w:rsidRPr="00E31856">
                      <w:rPr>
                        <w:rStyle w:val="Hyperlink"/>
                        <w:rFonts w:ascii="Arial" w:hAnsi="Arial" w:cs="Arial"/>
                        <w:sz w:val="20"/>
                        <w:szCs w:val="20"/>
                      </w:rPr>
                      <w:t>Odluka ES u predmetu Leonesio</w:t>
                    </w:r>
                  </w:hyperlink>
                  <w:r w:rsidR="00D74DEC" w:rsidRPr="00E31856">
                    <w:rPr>
                      <w:rFonts w:ascii="Arial" w:hAnsi="Arial" w:cs="Arial"/>
                      <w:sz w:val="20"/>
                      <w:szCs w:val="20"/>
                    </w:rPr>
                    <w:t xml:space="preserve">, </w:t>
                  </w:r>
                  <w:hyperlink r:id="rId23" w:tgtFrame="_blank" w:history="1">
                    <w:r w:rsidR="00D74DEC" w:rsidRPr="00E31856">
                      <w:rPr>
                        <w:rStyle w:val="Hyperlink"/>
                        <w:rFonts w:ascii="Arial" w:hAnsi="Arial" w:cs="Arial"/>
                        <w:sz w:val="20"/>
                        <w:szCs w:val="20"/>
                      </w:rPr>
                      <w:t>Odluka ES u predmetu Commission v. Italy</w:t>
                    </w:r>
                  </w:hyperlink>
                  <w:r w:rsidR="00D74DEC" w:rsidRPr="00E31856">
                    <w:rPr>
                      <w:rFonts w:ascii="Arial" w:hAnsi="Arial" w:cs="Arial"/>
                      <w:sz w:val="20"/>
                      <w:szCs w:val="20"/>
                    </w:rPr>
                    <w:t xml:space="preserve">, </w:t>
                  </w:r>
                  <w:hyperlink r:id="rId24" w:tgtFrame="_blank" w:history="1">
                    <w:r w:rsidR="00D74DEC" w:rsidRPr="00E31856">
                      <w:rPr>
                        <w:rStyle w:val="Hyperlink"/>
                        <w:rFonts w:ascii="Arial" w:hAnsi="Arial" w:cs="Arial"/>
                        <w:sz w:val="20"/>
                        <w:szCs w:val="20"/>
                      </w:rPr>
                      <w:t>Odluka ES u predmetu Variola</w:t>
                    </w:r>
                  </w:hyperlink>
                  <w:r w:rsidR="00D74DEC" w:rsidRPr="00E31856">
                    <w:rPr>
                      <w:rFonts w:ascii="Arial" w:hAnsi="Arial" w:cs="Arial"/>
                      <w:sz w:val="20"/>
                      <w:szCs w:val="20"/>
                    </w:rPr>
                    <w:t xml:space="preserve">, </w:t>
                  </w:r>
                  <w:hyperlink r:id="rId25" w:tgtFrame="_blank" w:history="1">
                    <w:r w:rsidR="00D74DEC" w:rsidRPr="00E31856">
                      <w:rPr>
                        <w:rStyle w:val="Hyperlink"/>
                        <w:rFonts w:ascii="Arial" w:hAnsi="Arial" w:cs="Arial"/>
                        <w:sz w:val="20"/>
                        <w:szCs w:val="20"/>
                      </w:rPr>
                      <w:t>Odluka ES u predmetu Van Duyn</w:t>
                    </w:r>
                  </w:hyperlink>
                  <w:hyperlink r:id="rId26" w:tgtFrame="_blank" w:history="1">
                    <w:r w:rsidR="00D74DEC" w:rsidRPr="00E31856">
                      <w:rPr>
                        <w:rStyle w:val="Hyperlink"/>
                        <w:rFonts w:ascii="Arial" w:hAnsi="Arial" w:cs="Arial"/>
                        <w:sz w:val="20"/>
                        <w:szCs w:val="20"/>
                      </w:rPr>
                      <w:t>Odluka ES u predmetu Ratti</w:t>
                    </w:r>
                  </w:hyperlink>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408"/>
              </w:trPr>
              <w:tc>
                <w:tcPr>
                  <w:tcW w:w="83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10</w:t>
                  </w:r>
                </w:p>
              </w:tc>
              <w:tc>
                <w:tcPr>
                  <w:tcW w:w="2775" w:type="dxa"/>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Interpretativni učinci prava Unije</w:t>
                  </w:r>
                </w:p>
              </w:tc>
              <w:tc>
                <w:tcPr>
                  <w:tcW w:w="567" w:type="dxa"/>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shd w:val="clear" w:color="auto" w:fill="auto"/>
                </w:tcPr>
                <w:p w:rsidR="00D74DEC" w:rsidRPr="00E31856" w:rsidRDefault="005642A8" w:rsidP="001B3720">
                  <w:pPr>
                    <w:spacing w:after="0" w:line="240" w:lineRule="auto"/>
                    <w:jc w:val="both"/>
                    <w:rPr>
                      <w:rFonts w:ascii="Arial" w:hAnsi="Arial" w:cs="Arial"/>
                      <w:sz w:val="20"/>
                      <w:szCs w:val="20"/>
                    </w:rPr>
                  </w:pPr>
                  <w:hyperlink r:id="rId27" w:history="1">
                    <w:r w:rsidR="00D74DEC" w:rsidRPr="00E31856">
                      <w:rPr>
                        <w:rStyle w:val="Hyperlink"/>
                        <w:rFonts w:ascii="Arial" w:hAnsi="Arial" w:cs="Arial"/>
                        <w:sz w:val="20"/>
                        <w:szCs w:val="20"/>
                      </w:rPr>
                      <w:t>članci UFEU koji se odnose na akte institucija EU</w:t>
                    </w:r>
                  </w:hyperlink>
                  <w:r w:rsidR="00D74DEC" w:rsidRPr="00E31856">
                    <w:rPr>
                      <w:rFonts w:ascii="Arial" w:hAnsi="Arial" w:cs="Arial"/>
                      <w:sz w:val="20"/>
                      <w:szCs w:val="20"/>
                    </w:rPr>
                    <w:t xml:space="preserve">, </w:t>
                  </w:r>
                  <w:hyperlink r:id="rId28" w:history="1">
                    <w:r w:rsidR="00D74DEC" w:rsidRPr="00E31856">
                      <w:rPr>
                        <w:rStyle w:val="Hyperlink"/>
                        <w:rFonts w:ascii="Arial" w:hAnsi="Arial" w:cs="Arial"/>
                        <w:sz w:val="20"/>
                        <w:szCs w:val="20"/>
                      </w:rPr>
                      <w:t>PPT Pravni akti</w:t>
                    </w:r>
                  </w:hyperlink>
                  <w:r w:rsidR="00D74DEC" w:rsidRPr="00E31856">
                    <w:rPr>
                      <w:rFonts w:ascii="Arial" w:hAnsi="Arial" w:cs="Arial"/>
                      <w:sz w:val="20"/>
                      <w:szCs w:val="20"/>
                    </w:rPr>
                    <w:t xml:space="preserve">, </w:t>
                  </w:r>
                  <w:hyperlink r:id="rId29" w:tgtFrame="_blank" w:history="1">
                    <w:r w:rsidR="00D74DEC" w:rsidRPr="00E31856">
                      <w:rPr>
                        <w:rStyle w:val="Hyperlink"/>
                        <w:rFonts w:ascii="Arial" w:hAnsi="Arial" w:cs="Arial"/>
                        <w:sz w:val="20"/>
                        <w:szCs w:val="20"/>
                      </w:rPr>
                      <w:t>Odluka ES u predmetu Leonesio</w:t>
                    </w:r>
                  </w:hyperlink>
                  <w:r w:rsidR="00D74DEC" w:rsidRPr="00E31856">
                    <w:rPr>
                      <w:rFonts w:ascii="Arial" w:hAnsi="Arial" w:cs="Arial"/>
                      <w:sz w:val="20"/>
                      <w:szCs w:val="20"/>
                    </w:rPr>
                    <w:t xml:space="preserve">, </w:t>
                  </w:r>
                  <w:hyperlink r:id="rId30" w:tgtFrame="_blank" w:history="1">
                    <w:r w:rsidR="00D74DEC" w:rsidRPr="00E31856">
                      <w:rPr>
                        <w:rStyle w:val="Hyperlink"/>
                        <w:rFonts w:ascii="Arial" w:hAnsi="Arial" w:cs="Arial"/>
                        <w:sz w:val="20"/>
                        <w:szCs w:val="20"/>
                      </w:rPr>
                      <w:t>Odluka ES u predmetu Commission v. Italy</w:t>
                    </w:r>
                  </w:hyperlink>
                  <w:r w:rsidR="00D74DEC" w:rsidRPr="00E31856">
                    <w:rPr>
                      <w:rFonts w:ascii="Arial" w:hAnsi="Arial" w:cs="Arial"/>
                      <w:sz w:val="20"/>
                      <w:szCs w:val="20"/>
                    </w:rPr>
                    <w:t xml:space="preserve">, </w:t>
                  </w:r>
                  <w:hyperlink r:id="rId31" w:tgtFrame="_blank" w:history="1">
                    <w:r w:rsidR="00D74DEC" w:rsidRPr="00E31856">
                      <w:rPr>
                        <w:rStyle w:val="Hyperlink"/>
                        <w:rFonts w:ascii="Arial" w:hAnsi="Arial" w:cs="Arial"/>
                        <w:sz w:val="20"/>
                        <w:szCs w:val="20"/>
                      </w:rPr>
                      <w:t>Odluka ES u predmetu Variola</w:t>
                    </w:r>
                  </w:hyperlink>
                  <w:r w:rsidR="00D74DEC" w:rsidRPr="00E31856">
                    <w:rPr>
                      <w:rFonts w:ascii="Arial" w:hAnsi="Arial" w:cs="Arial"/>
                      <w:sz w:val="20"/>
                      <w:szCs w:val="20"/>
                    </w:rPr>
                    <w:t xml:space="preserve">, </w:t>
                  </w:r>
                  <w:hyperlink r:id="rId32" w:tgtFrame="_blank" w:history="1">
                    <w:r w:rsidR="00D74DEC" w:rsidRPr="00E31856">
                      <w:rPr>
                        <w:rStyle w:val="Hyperlink"/>
                        <w:rFonts w:ascii="Arial" w:hAnsi="Arial" w:cs="Arial"/>
                        <w:sz w:val="20"/>
                        <w:szCs w:val="20"/>
                      </w:rPr>
                      <w:t>Odluka ES u predmetu Van Duyn</w:t>
                    </w:r>
                  </w:hyperlink>
                  <w:hyperlink r:id="rId33" w:tgtFrame="_blank" w:history="1">
                    <w:r w:rsidR="00D74DEC" w:rsidRPr="00E31856">
                      <w:rPr>
                        <w:rStyle w:val="Hyperlink"/>
                        <w:rFonts w:ascii="Arial" w:hAnsi="Arial" w:cs="Arial"/>
                        <w:sz w:val="20"/>
                        <w:szCs w:val="20"/>
                      </w:rPr>
                      <w:t>Odluka ES u predmetu Ratti</w:t>
                    </w:r>
                  </w:hyperlink>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11</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Temeljna prava u EU</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5642A8" w:rsidP="001B3720">
                  <w:pPr>
                    <w:spacing w:after="0" w:line="240" w:lineRule="auto"/>
                    <w:jc w:val="both"/>
                    <w:rPr>
                      <w:rFonts w:ascii="Arial" w:hAnsi="Arial" w:cs="Arial"/>
                      <w:sz w:val="20"/>
                      <w:szCs w:val="20"/>
                    </w:rPr>
                  </w:pPr>
                  <w:hyperlink r:id="rId34" w:tgtFrame="_blank" w:history="1">
                    <w:r w:rsidR="00D74DEC" w:rsidRPr="00E31856">
                      <w:rPr>
                        <w:rStyle w:val="Hyperlink"/>
                        <w:rFonts w:ascii="Arial" w:hAnsi="Arial" w:cs="Arial"/>
                        <w:sz w:val="20"/>
                        <w:szCs w:val="20"/>
                      </w:rPr>
                      <w:t>4/73 Nold</w:t>
                    </w:r>
                  </w:hyperlink>
                  <w:r w:rsidR="00D74DEC" w:rsidRPr="00E31856">
                    <w:rPr>
                      <w:rFonts w:ascii="Arial" w:hAnsi="Arial" w:cs="Arial"/>
                      <w:sz w:val="20"/>
                      <w:szCs w:val="20"/>
                    </w:rPr>
                    <w:t xml:space="preserve">, </w:t>
                  </w:r>
                  <w:hyperlink r:id="rId35" w:tgtFrame="_blank" w:history="1">
                    <w:r w:rsidR="00D74DEC" w:rsidRPr="00E31856">
                      <w:rPr>
                        <w:rStyle w:val="Hyperlink"/>
                        <w:rFonts w:ascii="Arial" w:hAnsi="Arial" w:cs="Arial"/>
                        <w:sz w:val="20"/>
                        <w:szCs w:val="20"/>
                      </w:rPr>
                      <w:t>44/79 Liselotte Hauer</w:t>
                    </w:r>
                  </w:hyperlink>
                  <w:r w:rsidR="00D74DEC" w:rsidRPr="00E31856">
                    <w:rPr>
                      <w:rFonts w:ascii="Arial" w:hAnsi="Arial" w:cs="Arial"/>
                      <w:sz w:val="20"/>
                      <w:szCs w:val="20"/>
                    </w:rPr>
                    <w:t xml:space="preserve">, Kucukdeveci (vidi NJ 6), </w:t>
                  </w:r>
                  <w:hyperlink r:id="rId36" w:history="1">
                    <w:r w:rsidR="00D74DEC" w:rsidRPr="00E31856">
                      <w:rPr>
                        <w:rStyle w:val="Hyperlink"/>
                        <w:rFonts w:ascii="Arial" w:hAnsi="Arial" w:cs="Arial"/>
                        <w:sz w:val="20"/>
                        <w:szCs w:val="20"/>
                      </w:rPr>
                      <w:t>Melloni</w:t>
                    </w:r>
                  </w:hyperlink>
                  <w:r w:rsidR="00D74DEC" w:rsidRPr="00E31856">
                    <w:rPr>
                      <w:rFonts w:ascii="Arial" w:hAnsi="Arial" w:cs="Arial"/>
                      <w:sz w:val="20"/>
                      <w:szCs w:val="20"/>
                    </w:rPr>
                    <w:t xml:space="preserve"> (engl.), </w:t>
                  </w:r>
                  <w:hyperlink r:id="rId37" w:history="1">
                    <w:r w:rsidR="00D74DEC" w:rsidRPr="00E31856">
                      <w:rPr>
                        <w:rStyle w:val="Hyperlink"/>
                        <w:rFonts w:ascii="Arial" w:hAnsi="Arial" w:cs="Arial"/>
                        <w:sz w:val="20"/>
                        <w:szCs w:val="20"/>
                      </w:rPr>
                      <w:t>Ackerberg Fransson</w:t>
                    </w:r>
                  </w:hyperlink>
                  <w:r w:rsidR="00D74DEC" w:rsidRPr="00E31856">
                    <w:rPr>
                      <w:rFonts w:ascii="Arial" w:hAnsi="Arial" w:cs="Arial"/>
                      <w:sz w:val="20"/>
                      <w:szCs w:val="20"/>
                    </w:rPr>
                    <w:t xml:space="preserve"> (engl.), </w:t>
                  </w:r>
                  <w:hyperlink r:id="rId38" w:history="1">
                    <w:r w:rsidR="00D74DEC" w:rsidRPr="00E31856">
                      <w:rPr>
                        <w:rStyle w:val="Hyperlink"/>
                        <w:rFonts w:ascii="Arial" w:hAnsi="Arial" w:cs="Arial"/>
                        <w:sz w:val="20"/>
                        <w:szCs w:val="20"/>
                      </w:rPr>
                      <w:t>P</w:t>
                    </w:r>
                  </w:hyperlink>
                  <w:hyperlink r:id="rId39" w:history="1">
                    <w:r w:rsidR="00D74DEC" w:rsidRPr="00E31856">
                      <w:rPr>
                        <w:rStyle w:val="Hyperlink"/>
                        <w:rFonts w:ascii="Arial" w:hAnsi="Arial" w:cs="Arial"/>
                        <w:sz w:val="20"/>
                        <w:szCs w:val="20"/>
                      </w:rPr>
                      <w:t>ovelja</w:t>
                    </w:r>
                  </w:hyperlink>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12</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Europska unija i Vijeće Europe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bCs/>
                      <w:sz w:val="20"/>
                      <w:szCs w:val="20"/>
                    </w:rPr>
                    <w:t xml:space="preserve">Okviri kooperacije: </w:t>
                  </w:r>
                </w:p>
                <w:p w:rsidR="00D74DEC" w:rsidRPr="00E31856" w:rsidRDefault="005642A8" w:rsidP="001B3720">
                  <w:pPr>
                    <w:spacing w:after="0" w:line="240" w:lineRule="auto"/>
                    <w:jc w:val="both"/>
                    <w:rPr>
                      <w:rFonts w:ascii="Arial" w:hAnsi="Arial" w:cs="Arial"/>
                      <w:sz w:val="20"/>
                      <w:szCs w:val="20"/>
                    </w:rPr>
                  </w:pPr>
                  <w:hyperlink r:id="rId40" w:history="1">
                    <w:r w:rsidR="00D74DEC" w:rsidRPr="00E31856">
                      <w:rPr>
                        <w:rStyle w:val="Hyperlink"/>
                        <w:rFonts w:ascii="Arial" w:hAnsi="Arial" w:cs="Arial"/>
                        <w:sz w:val="20"/>
                        <w:szCs w:val="20"/>
                      </w:rPr>
                      <w:t>Memorandum of Understanding</w:t>
                    </w:r>
                  </w:hyperlink>
                  <w:r w:rsidR="00D74DEC" w:rsidRPr="00E31856">
                    <w:rPr>
                      <w:rFonts w:ascii="Arial" w:hAnsi="Arial" w:cs="Arial"/>
                      <w:sz w:val="20"/>
                      <w:szCs w:val="20"/>
                    </w:rPr>
                    <w:t xml:space="preserve"> between the Council of Europe and the European Union (2007) </w:t>
                  </w: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Council of Europe - European Union: "</w:t>
                  </w:r>
                  <w:hyperlink r:id="rId41" w:history="1">
                    <w:r w:rsidRPr="00E31856">
                      <w:rPr>
                        <w:rStyle w:val="Hyperlink"/>
                        <w:rFonts w:ascii="Arial" w:hAnsi="Arial" w:cs="Arial"/>
                        <w:sz w:val="20"/>
                        <w:szCs w:val="20"/>
                      </w:rPr>
                      <w:t>A sole ambition for the European continent</w:t>
                    </w:r>
                  </w:hyperlink>
                  <w:r w:rsidRPr="00E31856">
                    <w:rPr>
                      <w:rFonts w:ascii="Arial" w:hAnsi="Arial" w:cs="Arial"/>
                      <w:sz w:val="20"/>
                      <w:szCs w:val="20"/>
                    </w:rPr>
                    <w:t xml:space="preserve">" - Report by Jean-Claude Juncker (2006) </w:t>
                  </w:r>
                </w:p>
                <w:p w:rsidR="00D74DEC" w:rsidRPr="00E31856" w:rsidRDefault="005642A8" w:rsidP="001B3720">
                  <w:pPr>
                    <w:spacing w:after="0" w:line="240" w:lineRule="auto"/>
                    <w:jc w:val="both"/>
                    <w:rPr>
                      <w:rFonts w:ascii="Arial" w:hAnsi="Arial" w:cs="Arial"/>
                      <w:sz w:val="20"/>
                      <w:szCs w:val="20"/>
                    </w:rPr>
                  </w:pPr>
                  <w:hyperlink r:id="rId42" w:history="1">
                    <w:r w:rsidR="00D74DEC" w:rsidRPr="00E31856">
                      <w:rPr>
                        <w:rStyle w:val="Hyperlink"/>
                        <w:rFonts w:ascii="Arial" w:hAnsi="Arial" w:cs="Arial"/>
                        <w:sz w:val="20"/>
                        <w:szCs w:val="20"/>
                      </w:rPr>
                      <w:t>Compendium of texts</w:t>
                    </w:r>
                  </w:hyperlink>
                  <w:r w:rsidR="00D74DEC" w:rsidRPr="00E31856">
                    <w:rPr>
                      <w:rFonts w:ascii="Arial" w:hAnsi="Arial" w:cs="Arial"/>
                      <w:sz w:val="20"/>
                      <w:szCs w:val="20"/>
                    </w:rPr>
                    <w:t xml:space="preserve"> governing the relations between the Council of Europe and the European Union (2001) </w:t>
                  </w: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w:t>
                  </w:r>
                  <w:proofErr w:type="spellStart"/>
                  <w:r w:rsidR="005642A8">
                    <w:fldChar w:fldCharType="begin"/>
                  </w:r>
                  <w:r>
                    <w:instrText>HYPERLINK "http://www.coe.int/t/der/docs/EUFRACoEAgreement_en.pdf"</w:instrText>
                  </w:r>
                  <w:r w:rsidR="005642A8">
                    <w:fldChar w:fldCharType="separate"/>
                  </w:r>
                  <w:r w:rsidRPr="00E31856">
                    <w:rPr>
                      <w:rStyle w:val="Hyperlink"/>
                      <w:rFonts w:ascii="Arial" w:hAnsi="Arial" w:cs="Arial"/>
                      <w:sz w:val="20"/>
                      <w:szCs w:val="20"/>
                    </w:rPr>
                    <w:t>Agreement</w:t>
                  </w:r>
                  <w:proofErr w:type="spellEnd"/>
                  <w:r w:rsidR="005642A8">
                    <w:fldChar w:fldCharType="end"/>
                  </w:r>
                  <w:r w:rsidRPr="00E31856">
                    <w:rPr>
                      <w:rFonts w:ascii="Arial" w:hAnsi="Arial" w:cs="Arial"/>
                      <w:sz w:val="20"/>
                      <w:szCs w:val="20"/>
                    </w:rPr>
                    <w:t xml:space="preserve"> on </w:t>
                  </w:r>
                  <w:proofErr w:type="spellStart"/>
                  <w:r w:rsidRPr="00E31856">
                    <w:rPr>
                      <w:rFonts w:ascii="Arial" w:hAnsi="Arial" w:cs="Arial"/>
                      <w:sz w:val="20"/>
                      <w:szCs w:val="20"/>
                    </w:rPr>
                    <w:t>co</w:t>
                  </w:r>
                  <w:proofErr w:type="spellEnd"/>
                  <w:r w:rsidRPr="00E31856">
                    <w:rPr>
                      <w:rFonts w:ascii="Arial" w:hAnsi="Arial" w:cs="Arial"/>
                      <w:sz w:val="20"/>
                      <w:szCs w:val="20"/>
                    </w:rPr>
                    <w:t>-</w:t>
                  </w:r>
                  <w:proofErr w:type="spellStart"/>
                  <w:r w:rsidRPr="00E31856">
                    <w:rPr>
                      <w:rFonts w:ascii="Arial" w:hAnsi="Arial" w:cs="Arial"/>
                      <w:sz w:val="20"/>
                      <w:szCs w:val="20"/>
                    </w:rPr>
                    <w:t>operation</w:t>
                  </w:r>
                  <w:proofErr w:type="spellEnd"/>
                  <w:r w:rsidRPr="00E31856">
                    <w:rPr>
                      <w:rFonts w:ascii="Arial" w:hAnsi="Arial" w:cs="Arial"/>
                      <w:sz w:val="20"/>
                      <w:szCs w:val="20"/>
                    </w:rPr>
                    <w:t xml:space="preserve"> </w:t>
                  </w:r>
                  <w:proofErr w:type="spellStart"/>
                  <w:r w:rsidRPr="00E31856">
                    <w:rPr>
                      <w:rFonts w:ascii="Arial" w:hAnsi="Arial" w:cs="Arial"/>
                      <w:sz w:val="20"/>
                      <w:szCs w:val="20"/>
                    </w:rPr>
                    <w:t>between</w:t>
                  </w:r>
                  <w:proofErr w:type="spellEnd"/>
                  <w:r w:rsidRPr="00E31856">
                    <w:rPr>
                      <w:rFonts w:ascii="Arial" w:hAnsi="Arial" w:cs="Arial"/>
                      <w:sz w:val="20"/>
                      <w:szCs w:val="20"/>
                    </w:rPr>
                    <w:t xml:space="preserve"> the European Union Agency for Fundamental Rights and the Council of Europe (2008) </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13</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Dinamika pravnog poretka u Europi - Pravo EU, Konvencijsko pravo i </w:t>
                  </w:r>
                  <w:r w:rsidRPr="00E31856">
                    <w:rPr>
                      <w:rFonts w:ascii="Arial" w:hAnsi="Arial" w:cs="Arial"/>
                      <w:sz w:val="20"/>
                      <w:szCs w:val="20"/>
                    </w:rPr>
                    <w:lastRenderedPageBreak/>
                    <w:t>nacionalno pravo</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Kozmopolitanski pravni poredak – ustavni pluralizam i sudska zaštita prava</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14</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Europska konvencija o pravima i slobodama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Tekst Konvencije sadrži izmjene u skladu s odredbama </w:t>
                  </w: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Protokola br. 14 (CETS, br. 194) od dana njegovog stupanja na snagu 1. 06. 2010. godine. Tekst.coe.int.</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15</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Acquis communitaire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Pokušaj definicije, provjera : sveukupnost prava EU primjenjiv u EU. Evolutivnost izvora: (1) sadržaj, načela i politički ciljevi Ugovora; (2) zakonodavstvo usvojeno radi ostvarivanja ciljeva Ugovora i odluke Suda; (3) standardi usvojeni u legislativi EU i međunarodnim ugovorima; (4) deklaracije i rezolucije EU; (5) Instrumenti zajedničke vanjske i siguronosne politike; (6) instrumenti pravosuđa; međunarodni ugovori Zajednice i ugovori država članica u sferi aktivnosti EU. </w:t>
                  </w:r>
                </w:p>
              </w:tc>
              <w:tc>
                <w:tcPr>
                  <w:tcW w:w="621" w:type="dxa"/>
                  <w:vMerge/>
                  <w:shd w:val="clear" w:color="auto" w:fill="auto"/>
                </w:tcPr>
                <w:p w:rsidR="00D74DEC" w:rsidRPr="00E31856" w:rsidRDefault="00D74DEC" w:rsidP="001B3720">
                  <w:pPr>
                    <w:spacing w:after="0" w:line="240" w:lineRule="auto"/>
                    <w:jc w:val="both"/>
                    <w:rPr>
                      <w:rFonts w:ascii="Arial" w:hAnsi="Arial" w:cs="Arial"/>
                      <w:sz w:val="20"/>
                      <w:szCs w:val="20"/>
                    </w:rPr>
                  </w:pPr>
                </w:p>
              </w:tc>
            </w:tr>
          </w:tbl>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rsidR="00D74DEC" w:rsidRPr="00E31856" w:rsidRDefault="00D74DEC" w:rsidP="001B3720">
            <w:pPr>
              <w:spacing w:after="0" w:line="240" w:lineRule="auto"/>
              <w:jc w:val="both"/>
              <w:rPr>
                <w:rFonts w:ascii="Arial" w:hAnsi="Arial" w:cs="Arial"/>
                <w:b/>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w:t>
            </w:r>
            <w:r w:rsidRPr="00E31856">
              <w:rPr>
                <w:rFonts w:ascii="Arial" w:hAnsi="Arial" w:cs="Arial"/>
                <w:b/>
                <w:sz w:val="20"/>
                <w:szCs w:val="20"/>
                <w:u w:val="single"/>
              </w:rPr>
              <w:t>predavanja</w:t>
            </w:r>
            <w:r w:rsidRPr="00E31856">
              <w:rPr>
                <w:rFonts w:ascii="Arial" w:hAnsi="Arial" w:cs="Arial"/>
                <w:b/>
                <w:sz w:val="20"/>
                <w:szCs w:val="20"/>
              </w:rPr>
              <w:t xml:space="preserve"> </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seminari i radionice  </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w:t>
            </w:r>
            <w:r w:rsidRPr="00E31856">
              <w:rPr>
                <w:rFonts w:ascii="Arial" w:hAnsi="Arial" w:cs="Arial"/>
                <w:b/>
                <w:sz w:val="20"/>
                <w:szCs w:val="20"/>
                <w:u w:val="single"/>
              </w:rPr>
              <w:t xml:space="preserve">vježbe </w:t>
            </w:r>
            <w:r w:rsidRPr="00E31856">
              <w:rPr>
                <w:rFonts w:ascii="Arial" w:hAnsi="Arial" w:cs="Arial"/>
                <w:b/>
                <w:sz w:val="20"/>
                <w:szCs w:val="20"/>
              </w:rPr>
              <w:t xml:space="preserve"> </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on line u cijelosti</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mješovito e-učenje</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terenska nastava</w:t>
            </w:r>
          </w:p>
        </w:tc>
        <w:tc>
          <w:tcPr>
            <w:tcW w:w="4162" w:type="dxa"/>
            <w:gridSpan w:val="10"/>
            <w:vMerge w:val="restart"/>
            <w:tcMar>
              <w:left w:w="57" w:type="dxa"/>
              <w:right w:w="57" w:type="dxa"/>
            </w:tcMar>
            <w:vAlign w:val="center"/>
          </w:tcPr>
          <w:p w:rsidR="00D74DEC" w:rsidRPr="00E31856" w:rsidRDefault="00D74DEC" w:rsidP="001B3720">
            <w:pPr>
              <w:spacing w:after="0" w:line="240" w:lineRule="auto"/>
              <w:jc w:val="both"/>
              <w:rPr>
                <w:rFonts w:ascii="Arial" w:hAnsi="Arial" w:cs="Arial"/>
                <w:b/>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w:t>
            </w:r>
            <w:r w:rsidRPr="00E31856">
              <w:rPr>
                <w:rFonts w:ascii="Arial" w:hAnsi="Arial" w:cs="Arial"/>
                <w:b/>
                <w:sz w:val="20"/>
                <w:szCs w:val="20"/>
                <w:u w:val="single"/>
              </w:rPr>
              <w:t>samostalni  zadaci</w:t>
            </w:r>
            <w:r w:rsidRPr="00E31856">
              <w:rPr>
                <w:rFonts w:ascii="Arial" w:hAnsi="Arial" w:cs="Arial"/>
                <w:b/>
                <w:sz w:val="20"/>
                <w:szCs w:val="20"/>
              </w:rPr>
              <w:t xml:space="preserve">  </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multimedija </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laboratorij</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mentorski rad</w:t>
            </w:r>
          </w:p>
          <w:p w:rsidR="00D74DEC" w:rsidRPr="00E31856" w:rsidRDefault="00D74DEC" w:rsidP="001B3720">
            <w:pPr>
              <w:spacing w:after="0" w:line="240" w:lineRule="auto"/>
              <w:jc w:val="both"/>
              <w:rPr>
                <w:rFonts w:ascii="Arial" w:hAnsi="Arial" w:cs="Arial"/>
                <w:sz w:val="20"/>
                <w:szCs w:val="20"/>
              </w:rPr>
            </w:pPr>
            <w:r w:rsidRPr="00E31856">
              <w:rPr>
                <w:rFonts w:ascii="MS Gothic" w:eastAsia="MS Gothic" w:hAnsi="MS Gothic" w:cs="MS Gothic" w:hint="eastAsia"/>
                <w:sz w:val="20"/>
                <w:szCs w:val="20"/>
              </w:rPr>
              <w:t>☐</w:t>
            </w:r>
            <w:r w:rsidRPr="00E31856">
              <w:rPr>
                <w:rFonts w:ascii="Arial" w:hAnsi="Arial" w:cs="Arial"/>
                <w:sz w:val="20"/>
                <w:szCs w:val="20"/>
              </w:rPr>
              <w:t xml:space="preserve"> </w:t>
            </w:r>
            <w:r w:rsidR="005642A8" w:rsidRPr="00E31856">
              <w:rPr>
                <w:rFonts w:ascii="Arial" w:hAnsi="Arial" w:cs="Arial"/>
                <w:sz w:val="20"/>
                <w:szCs w:val="20"/>
              </w:rPr>
              <w:fldChar w:fldCharType="begin">
                <w:ffData>
                  <w:name w:val="Text1"/>
                  <w:enabled/>
                  <w:calcOnExit w:val="0"/>
                  <w:textInput/>
                </w:ffData>
              </w:fldChar>
            </w:r>
            <w:r w:rsidRPr="00E31856">
              <w:rPr>
                <w:rFonts w:ascii="Arial" w:hAnsi="Arial" w:cs="Arial"/>
                <w:sz w:val="20"/>
                <w:szCs w:val="20"/>
              </w:rPr>
              <w:instrText xml:space="preserve"> FORMTEXT </w:instrText>
            </w:r>
            <w:r w:rsidR="005642A8" w:rsidRPr="00E31856">
              <w:rPr>
                <w:rFonts w:ascii="Arial" w:hAnsi="Arial" w:cs="Arial"/>
                <w:sz w:val="20"/>
                <w:szCs w:val="20"/>
              </w:rPr>
            </w:r>
            <w:r w:rsidR="005642A8" w:rsidRPr="00E31856">
              <w:rPr>
                <w:rFonts w:ascii="Arial" w:hAnsi="Arial" w:cs="Arial"/>
                <w:sz w:val="20"/>
                <w:szCs w:val="20"/>
              </w:rPr>
              <w:fldChar w:fldCharType="separate"/>
            </w:r>
            <w:r w:rsidRPr="00E31856">
              <w:rPr>
                <w:rFonts w:ascii="Arial" w:hAnsi="Arial" w:cs="Arial"/>
                <w:sz w:val="20"/>
                <w:szCs w:val="20"/>
              </w:rPr>
              <w:t> </w:t>
            </w:r>
            <w:r w:rsidRPr="00E31856">
              <w:rPr>
                <w:rFonts w:ascii="Arial" w:hAnsi="Arial" w:cs="Arial"/>
                <w:sz w:val="20"/>
                <w:szCs w:val="20"/>
              </w:rPr>
              <w:t> </w:t>
            </w:r>
            <w:r w:rsidRPr="00E31856">
              <w:rPr>
                <w:rFonts w:ascii="Arial" w:hAnsi="Arial" w:cs="Arial"/>
                <w:sz w:val="20"/>
                <w:szCs w:val="20"/>
              </w:rPr>
              <w:t> </w:t>
            </w:r>
            <w:r w:rsidRPr="00E31856">
              <w:rPr>
                <w:rFonts w:ascii="Arial" w:hAnsi="Arial" w:cs="Arial"/>
                <w:sz w:val="20"/>
                <w:szCs w:val="20"/>
              </w:rPr>
              <w:t> </w:t>
            </w:r>
            <w:r w:rsidRPr="00E31856">
              <w:rPr>
                <w:rFonts w:ascii="Arial" w:hAnsi="Arial" w:cs="Arial"/>
                <w:sz w:val="20"/>
                <w:szCs w:val="20"/>
              </w:rPr>
              <w:t> </w:t>
            </w:r>
            <w:r w:rsidR="005642A8" w:rsidRPr="00E31856">
              <w:rPr>
                <w:rFonts w:ascii="Arial" w:hAnsi="Arial" w:cs="Arial"/>
                <w:sz w:val="20"/>
                <w:szCs w:val="20"/>
              </w:rPr>
              <w:fldChar w:fldCharType="end"/>
            </w:r>
            <w:r w:rsidRPr="00E31856">
              <w:rPr>
                <w:rFonts w:ascii="Arial" w:hAnsi="Arial" w:cs="Arial"/>
                <w:sz w:val="20"/>
                <w:szCs w:val="20"/>
              </w:rPr>
              <w:t xml:space="preserve"> (ostalo upisati)</w:t>
            </w:r>
            <w:r w:rsidRPr="00E31856">
              <w:rPr>
                <w:rFonts w:ascii="Arial" w:hAnsi="Arial" w:cs="Arial"/>
                <w:b/>
                <w:sz w:val="20"/>
                <w:szCs w:val="20"/>
              </w:rPr>
              <w:t xml:space="preserve">  </w:t>
            </w:r>
          </w:p>
        </w:tc>
      </w:tr>
      <w:tr w:rsidR="00D74DEC" w:rsidRPr="00E31856" w:rsidTr="001B3720">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p>
        </w:tc>
        <w:tc>
          <w:tcPr>
            <w:tcW w:w="3626" w:type="dxa"/>
            <w:gridSpan w:val="3"/>
            <w:vMerge/>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p>
        </w:tc>
        <w:tc>
          <w:tcPr>
            <w:tcW w:w="4162" w:type="dxa"/>
            <w:gridSpan w:val="10"/>
            <w:vMerge/>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p>
        </w:tc>
      </w:tr>
      <w:tr w:rsidR="00D74DEC" w:rsidRPr="00E31856" w:rsidTr="001B3720">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Student je obvezan pohađati i uredno pratiti nastavu i izvršavati postavljane zadatke. Tijekom semestra se vodi evidencija o prisustvovanju nastavi. Uvjet za potpis je pohađanje minimalno 70% ukupne nastave. Uvjet za pristupanje ispitu je potpis.</w:t>
            </w:r>
          </w:p>
        </w:tc>
      </w:tr>
      <w:tr w:rsidR="00D74DEC" w:rsidRPr="00E31856" w:rsidTr="001B3720">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Pohađanje nastave</w:t>
            </w:r>
          </w:p>
        </w:tc>
        <w:tc>
          <w:tcPr>
            <w:tcW w:w="1099" w:type="dxa"/>
            <w:tcBorders>
              <w:top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1 ECTS </w:t>
            </w:r>
          </w:p>
        </w:tc>
        <w:tc>
          <w:tcPr>
            <w:tcW w:w="1194" w:type="dxa"/>
            <w:gridSpan w:val="2"/>
            <w:tcBorders>
              <w:top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Istraživanje</w:t>
            </w:r>
          </w:p>
        </w:tc>
        <w:tc>
          <w:tcPr>
            <w:tcW w:w="968" w:type="dxa"/>
            <w:tcBorders>
              <w:top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 ECTS</w:t>
            </w:r>
          </w:p>
        </w:tc>
        <w:tc>
          <w:tcPr>
            <w:tcW w:w="1520" w:type="dxa"/>
            <w:gridSpan w:val="5"/>
            <w:tcBorders>
              <w:top w:val="single" w:sz="12"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Praktični rad</w:t>
            </w:r>
          </w:p>
        </w:tc>
        <w:tc>
          <w:tcPr>
            <w:tcW w:w="1330" w:type="dxa"/>
            <w:gridSpan w:val="3"/>
            <w:tcBorders>
              <w:top w:val="single" w:sz="12" w:space="0" w:color="auto"/>
              <w:right w:val="single" w:sz="12" w:space="0" w:color="auto"/>
            </w:tcBorders>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Eksperimentalni rad</w:t>
            </w:r>
          </w:p>
        </w:tc>
        <w:tc>
          <w:tcPr>
            <w:tcW w:w="1099" w:type="dxa"/>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194" w:type="dxa"/>
            <w:gridSpan w:val="2"/>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Referat</w:t>
            </w:r>
          </w:p>
        </w:tc>
        <w:tc>
          <w:tcPr>
            <w:tcW w:w="968" w:type="dxa"/>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20" w:type="dxa"/>
            <w:gridSpan w:val="5"/>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r w:rsidR="00D74DEC" w:rsidRPr="00E31856">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Esej</w:t>
            </w:r>
          </w:p>
        </w:tc>
        <w:tc>
          <w:tcPr>
            <w:tcW w:w="1099" w:type="dxa"/>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194" w:type="dxa"/>
            <w:gridSpan w:val="2"/>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Seminarski rad</w:t>
            </w:r>
          </w:p>
        </w:tc>
        <w:tc>
          <w:tcPr>
            <w:tcW w:w="968" w:type="dxa"/>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20" w:type="dxa"/>
            <w:gridSpan w:val="5"/>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r w:rsidR="00D74DEC" w:rsidRPr="00E31856">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Kolokviji</w:t>
            </w:r>
          </w:p>
        </w:tc>
        <w:tc>
          <w:tcPr>
            <w:tcW w:w="1099" w:type="dxa"/>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3 ECTS*</w:t>
            </w:r>
          </w:p>
        </w:tc>
        <w:tc>
          <w:tcPr>
            <w:tcW w:w="1194" w:type="dxa"/>
            <w:gridSpan w:val="2"/>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Usmeni ispit</w:t>
            </w:r>
          </w:p>
        </w:tc>
        <w:tc>
          <w:tcPr>
            <w:tcW w:w="968" w:type="dxa"/>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20" w:type="dxa"/>
            <w:gridSpan w:val="5"/>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r w:rsidR="00D74DEC" w:rsidRPr="00E31856">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74DEC" w:rsidRPr="00E31856" w:rsidRDefault="00D74DEC" w:rsidP="00D74DEC">
            <w:pPr>
              <w:numPr>
                <w:ilvl w:val="0"/>
                <w:numId w:val="2"/>
              </w:numPr>
              <w:spacing w:after="0" w:line="240" w:lineRule="auto"/>
              <w:jc w:val="both"/>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r w:rsidR="00D74DEC" w:rsidRPr="00E31856">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*Student koji ostvari pozitivnu ocjenu iz prvog i drugog kolokvija, ne treba izlaziti na pismeni ispit.</w:t>
            </w:r>
          </w:p>
        </w:tc>
      </w:tr>
      <w:tr w:rsidR="00D74DEC" w:rsidRPr="00E31856" w:rsidTr="001B3720">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rsidR="00D74DEC" w:rsidRPr="00E31856" w:rsidRDefault="00D74DEC" w:rsidP="001B3720">
            <w:pPr>
              <w:spacing w:after="0" w:line="240" w:lineRule="auto"/>
              <w:jc w:val="both"/>
              <w:rPr>
                <w:rFonts w:ascii="Arial" w:hAnsi="Arial" w:cs="Arial"/>
                <w:b/>
                <w:sz w:val="20"/>
                <w:szCs w:val="20"/>
              </w:rPr>
            </w:pPr>
            <w:r w:rsidRPr="00E31856">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74DEC" w:rsidRPr="00E31856" w:rsidRDefault="00D74DEC" w:rsidP="001B3720">
            <w:pPr>
              <w:spacing w:after="0" w:line="240" w:lineRule="auto"/>
              <w:jc w:val="both"/>
              <w:rPr>
                <w:rFonts w:ascii="Arial" w:hAnsi="Arial" w:cs="Arial"/>
                <w:b/>
                <w:sz w:val="20"/>
                <w:szCs w:val="20"/>
              </w:rPr>
            </w:pPr>
            <w:r w:rsidRPr="00E31856">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74DEC" w:rsidRPr="00E31856" w:rsidRDefault="00D74DEC" w:rsidP="001B3720">
            <w:pPr>
              <w:spacing w:after="0" w:line="240" w:lineRule="auto"/>
              <w:jc w:val="both"/>
              <w:rPr>
                <w:rFonts w:ascii="Arial" w:hAnsi="Arial" w:cs="Arial"/>
                <w:b/>
                <w:sz w:val="20"/>
                <w:szCs w:val="20"/>
              </w:rPr>
            </w:pPr>
            <w:r w:rsidRPr="00E31856">
              <w:rPr>
                <w:rFonts w:ascii="Arial" w:hAnsi="Arial" w:cs="Arial"/>
                <w:b/>
                <w:sz w:val="20"/>
                <w:szCs w:val="20"/>
              </w:rPr>
              <w:t>Dostupnost putem ostalih medija</w:t>
            </w:r>
          </w:p>
        </w:tc>
      </w:tr>
      <w:tr w:rsidR="00D74DEC" w:rsidRPr="00E31856" w:rsidTr="001B3720">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Bačić &amp; P. Bačić, EUROPSKO PRAVO – STUDIJSKI IZVORI, Pravni fakultet u Splitu, </w:t>
            </w:r>
          </w:p>
        </w:tc>
        <w:tc>
          <w:tcPr>
            <w:tcW w:w="1244" w:type="dxa"/>
            <w:gridSpan w:val="3"/>
            <w:tcBorders>
              <w:top w:val="single" w:sz="8" w:space="0" w:color="auto"/>
              <w:left w:val="single" w:sz="8" w:space="0" w:color="auto"/>
              <w:right w:val="single" w:sz="8"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50</w:t>
            </w:r>
          </w:p>
        </w:tc>
        <w:tc>
          <w:tcPr>
            <w:tcW w:w="1518" w:type="dxa"/>
            <w:gridSpan w:val="4"/>
            <w:tcBorders>
              <w:top w:val="single" w:sz="8" w:space="0" w:color="auto"/>
              <w:left w:val="single" w:sz="8"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Europska unija i Lisabonski ugovor - dodatak knjizi Europsko pravo (priredio dr. sc. Petar Bačić), 2010.</w:t>
            </w:r>
          </w:p>
        </w:tc>
        <w:tc>
          <w:tcPr>
            <w:tcW w:w="1244" w:type="dxa"/>
            <w:gridSpan w:val="3"/>
            <w:tcBorders>
              <w:left w:val="single" w:sz="8" w:space="0" w:color="auto"/>
              <w:right w:val="single" w:sz="8"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50</w:t>
            </w:r>
          </w:p>
        </w:tc>
        <w:tc>
          <w:tcPr>
            <w:tcW w:w="1518" w:type="dxa"/>
            <w:gridSpan w:val="4"/>
            <w:tcBorders>
              <w:left w:val="single" w:sz="8"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Europska unija i institucije Republike Hrvatske, dodatak knjizi Europsko pravo (priredili prof. dr. sc. Arsen Bačić i izv. prof. dr. sc. Petar Bačić), 2014.</w:t>
            </w:r>
          </w:p>
        </w:tc>
        <w:tc>
          <w:tcPr>
            <w:tcW w:w="1244" w:type="dxa"/>
            <w:gridSpan w:val="3"/>
            <w:tcBorders>
              <w:left w:val="single" w:sz="8" w:space="0" w:color="auto"/>
              <w:right w:val="single" w:sz="8"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50</w:t>
            </w:r>
          </w:p>
        </w:tc>
        <w:tc>
          <w:tcPr>
            <w:tcW w:w="1518" w:type="dxa"/>
            <w:gridSpan w:val="4"/>
            <w:tcBorders>
              <w:left w:val="single" w:sz="8"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74DEC" w:rsidRPr="00E31856"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r w:rsidR="00D74DEC" w:rsidRPr="00E31856" w:rsidTr="001B3720">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Dopunska literatura </w:t>
            </w:r>
          </w:p>
          <w:p w:rsidR="00D74DEC" w:rsidRPr="00E31856" w:rsidRDefault="00D74DEC" w:rsidP="001B3720">
            <w:pPr>
              <w:spacing w:after="0" w:line="240" w:lineRule="auto"/>
              <w:jc w:val="both"/>
              <w:rPr>
                <w:rFonts w:ascii="Arial" w:hAnsi="Arial" w:cs="Arial"/>
                <w:sz w:val="20"/>
                <w:szCs w:val="20"/>
              </w:rPr>
            </w:pPr>
          </w:p>
        </w:tc>
        <w:tc>
          <w:tcPr>
            <w:tcW w:w="7788" w:type="dxa"/>
            <w:gridSpan w:val="13"/>
            <w:tcBorders>
              <w:top w:val="single" w:sz="12" w:space="0" w:color="auto"/>
              <w:right w:val="single" w:sz="12" w:space="0" w:color="auto"/>
            </w:tcBorders>
            <w:tcMar>
              <w:left w:w="57" w:type="dxa"/>
              <w:right w:w="57" w:type="dxa"/>
            </w:tcMa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1. Josipović T, Načela europskog prava, Narodne novine, Zagreb, 2005.</w:t>
            </w: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2. Bačić Petar, Ustav za Europu i značaj konstitucionalizacije ljudskih prava,</w:t>
            </w:r>
            <w:r w:rsidRPr="00E31856">
              <w:rPr>
                <w:rFonts w:ascii="Arial" w:hAnsi="Arial" w:cs="Arial"/>
                <w:b/>
                <w:sz w:val="20"/>
                <w:szCs w:val="20"/>
              </w:rPr>
              <w:t xml:space="preserve"> </w:t>
            </w:r>
            <w:r w:rsidRPr="00E31856">
              <w:rPr>
                <w:rFonts w:ascii="Arial" w:hAnsi="Arial" w:cs="Arial"/>
                <w:sz w:val="20"/>
                <w:szCs w:val="20"/>
              </w:rPr>
              <w:t>Zbornik Pravnog fakulteta u Splitu, br. 1-2/2005., str. 105. – 119.</w:t>
            </w:r>
          </w:p>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 xml:space="preserve">3. Rodin S. et al., Reforma Europske unije - Lisabonski ugovor, Narodne novine, </w:t>
            </w:r>
            <w:r w:rsidRPr="00E31856">
              <w:rPr>
                <w:rFonts w:ascii="Arial" w:hAnsi="Arial" w:cs="Arial"/>
                <w:sz w:val="20"/>
                <w:szCs w:val="20"/>
              </w:rPr>
              <w:lastRenderedPageBreak/>
              <w:t>Zagreb, 2009.</w:t>
            </w:r>
          </w:p>
        </w:tc>
      </w:tr>
      <w:tr w:rsidR="00D74DEC" w:rsidRPr="00E31856" w:rsidTr="001B3720">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lastRenderedPageBreak/>
              <w:t>Načini praćenja kvalitete koji osiguravaju stjecanje utvrđenih ishoda učenja</w:t>
            </w:r>
          </w:p>
        </w:tc>
        <w:tc>
          <w:tcPr>
            <w:tcW w:w="7788" w:type="dxa"/>
            <w:gridSpan w:val="13"/>
            <w:tcBorders>
              <w:right w:val="single" w:sz="12" w:space="0" w:color="auto"/>
            </w:tcBorders>
            <w:tcMar>
              <w:left w:w="57" w:type="dxa"/>
              <w:right w:w="57" w:type="dxa"/>
            </w:tcMar>
          </w:tcPr>
          <w:p w:rsidR="00D74DEC" w:rsidRPr="00E31856" w:rsidRDefault="00D74DEC" w:rsidP="00D74DEC">
            <w:pPr>
              <w:numPr>
                <w:ilvl w:val="0"/>
                <w:numId w:val="3"/>
              </w:numPr>
              <w:spacing w:after="0" w:line="240" w:lineRule="auto"/>
              <w:jc w:val="both"/>
              <w:rPr>
                <w:rFonts w:ascii="Arial" w:hAnsi="Arial" w:cs="Arial"/>
                <w:bCs/>
                <w:sz w:val="20"/>
                <w:szCs w:val="20"/>
              </w:rPr>
            </w:pPr>
            <w:r w:rsidRPr="00E31856">
              <w:rPr>
                <w:rFonts w:ascii="Arial" w:hAnsi="Arial" w:cs="Arial"/>
                <w:bCs/>
                <w:sz w:val="20"/>
                <w:szCs w:val="20"/>
              </w:rPr>
              <w:t>Praćenje pohađanja nastave i uspješnosti izvršenja ostalih obveza studenata (nastavnik)</w:t>
            </w:r>
          </w:p>
          <w:p w:rsidR="00D74DEC" w:rsidRPr="00E31856" w:rsidRDefault="00D74DEC" w:rsidP="00D74DEC">
            <w:pPr>
              <w:numPr>
                <w:ilvl w:val="0"/>
                <w:numId w:val="3"/>
              </w:numPr>
              <w:spacing w:after="0" w:line="240" w:lineRule="auto"/>
              <w:jc w:val="both"/>
              <w:rPr>
                <w:rFonts w:ascii="Arial" w:hAnsi="Arial" w:cs="Arial"/>
                <w:bCs/>
                <w:sz w:val="20"/>
                <w:szCs w:val="20"/>
              </w:rPr>
            </w:pPr>
            <w:r w:rsidRPr="00E31856">
              <w:rPr>
                <w:rFonts w:ascii="Arial" w:hAnsi="Arial" w:cs="Arial"/>
                <w:bCs/>
                <w:sz w:val="20"/>
                <w:szCs w:val="20"/>
              </w:rPr>
              <w:t>Nadzor izvođenja nastave (prodekan za nastavu)</w:t>
            </w:r>
          </w:p>
          <w:p w:rsidR="00D74DEC" w:rsidRPr="00E31856" w:rsidRDefault="00D74DEC" w:rsidP="00D74DEC">
            <w:pPr>
              <w:numPr>
                <w:ilvl w:val="0"/>
                <w:numId w:val="3"/>
              </w:numPr>
              <w:spacing w:after="0" w:line="240" w:lineRule="auto"/>
              <w:jc w:val="both"/>
              <w:rPr>
                <w:rFonts w:ascii="Arial" w:hAnsi="Arial" w:cs="Arial"/>
                <w:bCs/>
                <w:sz w:val="20"/>
                <w:szCs w:val="20"/>
              </w:rPr>
            </w:pPr>
            <w:r w:rsidRPr="00E31856">
              <w:rPr>
                <w:rFonts w:ascii="Arial" w:hAnsi="Arial" w:cs="Arial"/>
                <w:bCs/>
                <w:sz w:val="20"/>
                <w:szCs w:val="20"/>
              </w:rPr>
              <w:t>Analiza uspješnosti studiranja po svim predmetima studija (prodekan za nastavu)</w:t>
            </w:r>
          </w:p>
          <w:p w:rsidR="00D74DEC" w:rsidRPr="00E31856" w:rsidRDefault="00D74DEC" w:rsidP="00D74DEC">
            <w:pPr>
              <w:numPr>
                <w:ilvl w:val="0"/>
                <w:numId w:val="3"/>
              </w:numPr>
              <w:spacing w:after="0" w:line="240" w:lineRule="auto"/>
              <w:jc w:val="both"/>
              <w:rPr>
                <w:rFonts w:ascii="Arial" w:hAnsi="Arial" w:cs="Arial"/>
                <w:bCs/>
                <w:sz w:val="20"/>
                <w:szCs w:val="20"/>
              </w:rPr>
            </w:pPr>
            <w:r w:rsidRPr="00E31856">
              <w:rPr>
                <w:rFonts w:ascii="Arial" w:hAnsi="Arial" w:cs="Arial"/>
                <w:bCs/>
                <w:sz w:val="20"/>
                <w:szCs w:val="20"/>
              </w:rPr>
              <w:t>Studentska anketa o kvaliteti nastavnika i nastave za svaki predmet studija (UNIST, Centar za unaprjeđenje kvalitete)</w:t>
            </w:r>
          </w:p>
          <w:p w:rsidR="00D74DEC" w:rsidRPr="00E31856" w:rsidRDefault="00D74DEC" w:rsidP="00D74DEC">
            <w:pPr>
              <w:numPr>
                <w:ilvl w:val="0"/>
                <w:numId w:val="3"/>
              </w:numPr>
              <w:spacing w:after="0" w:line="240" w:lineRule="auto"/>
              <w:jc w:val="both"/>
              <w:rPr>
                <w:rFonts w:ascii="Arial" w:hAnsi="Arial" w:cs="Arial"/>
                <w:b/>
                <w:bCs/>
                <w:sz w:val="20"/>
                <w:szCs w:val="20"/>
              </w:rPr>
            </w:pPr>
            <w:r w:rsidRPr="00E3185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E31856">
              <w:rPr>
                <w:rFonts w:ascii="Arial" w:hAnsi="Arial" w:cs="Arial"/>
                <w:b/>
                <w:bCs/>
                <w:sz w:val="20"/>
                <w:szCs w:val="20"/>
              </w:rPr>
              <w:t xml:space="preserve"> </w:t>
            </w:r>
          </w:p>
        </w:tc>
      </w:tr>
      <w:tr w:rsidR="00D74DEC" w:rsidRPr="00E31856" w:rsidTr="001B3720">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74DEC" w:rsidRPr="00E31856" w:rsidRDefault="00D74DEC" w:rsidP="001B3720">
            <w:pPr>
              <w:spacing w:after="0" w:line="240" w:lineRule="auto"/>
              <w:jc w:val="both"/>
              <w:rPr>
                <w:rFonts w:ascii="Arial" w:hAnsi="Arial" w:cs="Arial"/>
                <w:sz w:val="20"/>
                <w:szCs w:val="20"/>
              </w:rPr>
            </w:pPr>
            <w:r w:rsidRPr="00E31856">
              <w:rPr>
                <w:rFonts w:ascii="Arial" w:hAnsi="Arial" w:cs="Arial"/>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rsidR="00D74DEC" w:rsidRPr="00E31856" w:rsidRDefault="005642A8" w:rsidP="001B3720">
            <w:pPr>
              <w:spacing w:after="0" w:line="240" w:lineRule="auto"/>
              <w:jc w:val="both"/>
              <w:rPr>
                <w:rFonts w:ascii="Arial" w:hAnsi="Arial" w:cs="Arial"/>
                <w:sz w:val="20"/>
                <w:szCs w:val="20"/>
              </w:rPr>
            </w:pPr>
            <w:r w:rsidRPr="00E31856">
              <w:rPr>
                <w:rFonts w:ascii="Arial" w:hAnsi="Arial" w:cs="Arial"/>
                <w:sz w:val="20"/>
                <w:szCs w:val="20"/>
              </w:rPr>
              <w:fldChar w:fldCharType="begin">
                <w:ffData>
                  <w:name w:val="Text1"/>
                  <w:enabled/>
                  <w:calcOnExit w:val="0"/>
                  <w:textInput/>
                </w:ffData>
              </w:fldChar>
            </w:r>
            <w:r w:rsidR="00D74DEC" w:rsidRPr="00E31856">
              <w:rPr>
                <w:rFonts w:ascii="Arial" w:hAnsi="Arial" w:cs="Arial"/>
                <w:sz w:val="20"/>
                <w:szCs w:val="20"/>
              </w:rPr>
              <w:instrText xml:space="preserve"> FORMTEXT </w:instrText>
            </w:r>
            <w:r w:rsidRPr="00E31856">
              <w:rPr>
                <w:rFonts w:ascii="Arial" w:hAnsi="Arial" w:cs="Arial"/>
                <w:sz w:val="20"/>
                <w:szCs w:val="20"/>
              </w:rPr>
            </w:r>
            <w:r w:rsidRPr="00E31856">
              <w:rPr>
                <w:rFonts w:ascii="Arial" w:hAnsi="Arial" w:cs="Arial"/>
                <w:sz w:val="20"/>
                <w:szCs w:val="20"/>
              </w:rPr>
              <w:fldChar w:fldCharType="separate"/>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00D74DEC" w:rsidRPr="00E31856">
              <w:rPr>
                <w:rFonts w:ascii="Arial" w:hAnsi="Arial" w:cs="Arial"/>
                <w:sz w:val="20"/>
                <w:szCs w:val="20"/>
              </w:rPr>
              <w:t> </w:t>
            </w:r>
            <w:r w:rsidRPr="00E31856">
              <w:rPr>
                <w:rFonts w:ascii="Arial" w:hAnsi="Arial" w:cs="Arial"/>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EDD" w:rsidRDefault="00ED1EDD" w:rsidP="00D74DEC">
      <w:pPr>
        <w:spacing w:after="0" w:line="240" w:lineRule="auto"/>
      </w:pPr>
      <w:r>
        <w:separator/>
      </w:r>
    </w:p>
  </w:endnote>
  <w:endnote w:type="continuationSeparator" w:id="0">
    <w:p w:rsidR="00ED1EDD" w:rsidRDefault="00ED1EDD" w:rsidP="00D74D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EDD" w:rsidRDefault="00ED1EDD" w:rsidP="00D74DEC">
      <w:pPr>
        <w:spacing w:after="0" w:line="240" w:lineRule="auto"/>
      </w:pPr>
      <w:r>
        <w:separator/>
      </w:r>
    </w:p>
  </w:footnote>
  <w:footnote w:type="continuationSeparator" w:id="0">
    <w:p w:rsidR="00ED1EDD" w:rsidRDefault="00ED1EDD" w:rsidP="00D74D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3435E"/>
    <w:multiLevelType w:val="hybridMultilevel"/>
    <w:tmpl w:val="3E781354"/>
    <w:lvl w:ilvl="0" w:tplc="2B943CBC">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nsid w:val="45CA11A8"/>
    <w:multiLevelType w:val="hybridMultilevel"/>
    <w:tmpl w:val="A658130A"/>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D74DEC"/>
    <w:rsid w:val="004F2677"/>
    <w:rsid w:val="005243EA"/>
    <w:rsid w:val="005642A8"/>
    <w:rsid w:val="00B85EAB"/>
    <w:rsid w:val="00D74DEC"/>
    <w:rsid w:val="00E33819"/>
    <w:rsid w:val="00E85097"/>
    <w:rsid w:val="00ED1ED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DE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DEC"/>
    <w:pPr>
      <w:ind w:left="720"/>
      <w:contextualSpacing/>
    </w:pPr>
  </w:style>
  <w:style w:type="character" w:styleId="Hyperlink">
    <w:name w:val="Hyperlink"/>
    <w:rsid w:val="00D74DEC"/>
    <w:rPr>
      <w:color w:val="0000FF"/>
      <w:u w:val="single"/>
    </w:rPr>
  </w:style>
  <w:style w:type="paragraph" w:styleId="Header">
    <w:name w:val="header"/>
    <w:basedOn w:val="Normal"/>
    <w:link w:val="HeaderChar"/>
    <w:uiPriority w:val="99"/>
    <w:semiHidden/>
    <w:unhideWhenUsed/>
    <w:rsid w:val="00D74DE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D74DEC"/>
    <w:rPr>
      <w:rFonts w:ascii="Calibri" w:eastAsia="Calibri" w:hAnsi="Calibri" w:cs="Times New Roman"/>
    </w:rPr>
  </w:style>
  <w:style w:type="paragraph" w:styleId="Footer">
    <w:name w:val="footer"/>
    <w:basedOn w:val="Normal"/>
    <w:link w:val="FooterChar"/>
    <w:uiPriority w:val="99"/>
    <w:semiHidden/>
    <w:unhideWhenUsed/>
    <w:rsid w:val="00D74DE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74DE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o.hr/_download/repository/Shumanova_deklaracija.doc" TargetMode="External"/><Relationship Id="rId13" Type="http://schemas.openxmlformats.org/officeDocument/2006/relationships/hyperlink" Target="http://www.pravo.unizg.hr/images/50003228/ERTA_HRV.doc" TargetMode="External"/><Relationship Id="rId18" Type="http://schemas.openxmlformats.org/officeDocument/2006/relationships/hyperlink" Target="http://www.pravo.hr/_download/repository/Walrave_HRV.doc" TargetMode="External"/><Relationship Id="rId26" Type="http://schemas.openxmlformats.org/officeDocument/2006/relationships/hyperlink" Target="http://www.pravo.hr/_download/repository/RattiHRV.doc" TargetMode="External"/><Relationship Id="rId39" Type="http://schemas.openxmlformats.org/officeDocument/2006/relationships/hyperlink" Target="http://www.pravo.unizg.hr/_download/repository/Povelja_o_temeljnim_pravima_Europske_unije%5B1%5D.doc" TargetMode="External"/><Relationship Id="rId3" Type="http://schemas.openxmlformats.org/officeDocument/2006/relationships/settings" Target="settings.xml"/><Relationship Id="rId21" Type="http://schemas.openxmlformats.org/officeDocument/2006/relationships/hyperlink" Target="http://www.pravo.hr/_download/repository/PP_prezentacija_Pravni_akti.ppt" TargetMode="External"/><Relationship Id="rId34" Type="http://schemas.openxmlformats.org/officeDocument/2006/relationships/hyperlink" Target="http://www.pravo.hr/_download/repository/NoldHRV.doc" TargetMode="External"/><Relationship Id="rId42" Type="http://schemas.openxmlformats.org/officeDocument/2006/relationships/hyperlink" Target="http://www.coe.int/t/der/docs/MoU_compendium_en.pdf" TargetMode="External"/><Relationship Id="rId7" Type="http://schemas.openxmlformats.org/officeDocument/2006/relationships/hyperlink" Target="http://www.pravo.hr/_download/repository/Willem_Molle_HRV.doc" TargetMode="External"/><Relationship Id="rId12" Type="http://schemas.openxmlformats.org/officeDocument/2006/relationships/hyperlink" Target="http://www.pravo.unizg.hr/_download/repository/P12_-_ugovorni_clanci_za_web_HR_lisabon.doc" TargetMode="External"/><Relationship Id="rId17" Type="http://schemas.openxmlformats.org/officeDocument/2006/relationships/hyperlink" Target="http://www.pravo.hr/_download/repository/ERTA_HRV_MMc.doc" TargetMode="External"/><Relationship Id="rId25" Type="http://schemas.openxmlformats.org/officeDocument/2006/relationships/hyperlink" Target="http://curia.europa.eu/jcms/upload/docs/application/pdf/2014-02/tra-doc-hr-arret-c-0041-1974-201304453-05_02.pdf" TargetMode="External"/><Relationship Id="rId33" Type="http://schemas.openxmlformats.org/officeDocument/2006/relationships/hyperlink" Target="http://www.pravo.hr/_download/repository/RattiHRV.doc" TargetMode="External"/><Relationship Id="rId38" Type="http://schemas.openxmlformats.org/officeDocument/2006/relationships/hyperlink" Target="http://eur-lex.europa.eu/LexUriServ/LexUriServ.do?uri=OJ:C:2012:326:0391:0407:EN:PDF" TargetMode="External"/><Relationship Id="rId2" Type="http://schemas.openxmlformats.org/officeDocument/2006/relationships/styles" Target="styles.xml"/><Relationship Id="rId16" Type="http://schemas.openxmlformats.org/officeDocument/2006/relationships/hyperlink" Target="http://curia.europa.eu/juris/document/document.jsf?text=&amp;docid=139745&amp;pageIndex=0&amp;doclang=EN&amp;mode=lst&amp;dir=&amp;occ=first&amp;part=1&amp;cid=2813110" TargetMode="External"/><Relationship Id="rId20" Type="http://schemas.openxmlformats.org/officeDocument/2006/relationships/hyperlink" Target="http://www.pravo.unizg.hr/_download/repository/usporedni_prikaz_clanaka_o_aktima.docx" TargetMode="External"/><Relationship Id="rId29" Type="http://schemas.openxmlformats.org/officeDocument/2006/relationships/hyperlink" Target="http://www.pravo.hr/_download/repository/Leonesio_HRV.doc" TargetMode="External"/><Relationship Id="rId41" Type="http://schemas.openxmlformats.org/officeDocument/2006/relationships/hyperlink" Target="http://www.coe.int/t/der/docs/RapJuncker_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Notice.do?val=277854:cs&amp;lang=en&amp;list=277854:cs,277633:cs,277700:cs,&amp;pos=1&amp;page=1&amp;nbl=3&amp;pgs=10&amp;hwords=&amp;checktexte=checkbox&amp;visu=" TargetMode="External"/><Relationship Id="rId24" Type="http://schemas.openxmlformats.org/officeDocument/2006/relationships/hyperlink" Target="http://www.pravo.hr/_download/repository/Variola_HRV.doc" TargetMode="External"/><Relationship Id="rId32" Type="http://schemas.openxmlformats.org/officeDocument/2006/relationships/hyperlink" Target="http://curia.europa.eu/jcms/upload/docs/application/pdf/2014-02/tra-doc-hr-arret-c-0041-1974-201304453-05_02.pdf" TargetMode="External"/><Relationship Id="rId37" Type="http://schemas.openxmlformats.org/officeDocument/2006/relationships/hyperlink" Target="http://curia.europa.eu/juris/celex.jsf?celex=62010CJ0617&amp;lang1=hr&amp;type=TXT&amp;ancre=" TargetMode="External"/><Relationship Id="rId40" Type="http://schemas.openxmlformats.org/officeDocument/2006/relationships/hyperlink" Target="http://www.coe.int/t/der/docs/MoU_EN.pdf" TargetMode="External"/><Relationship Id="rId5" Type="http://schemas.openxmlformats.org/officeDocument/2006/relationships/footnotes" Target="footnotes.xml"/><Relationship Id="rId15" Type="http://schemas.openxmlformats.org/officeDocument/2006/relationships/hyperlink" Target="http://www.vsrh.hr/CustomPages/Static/HRV/Files/EU11_Spojeni-predmeti-Kadix_c-402-05-p_c-415-05-p.pdf" TargetMode="External"/><Relationship Id="rId23" Type="http://schemas.openxmlformats.org/officeDocument/2006/relationships/hyperlink" Target="http://www.pravo.hr/_download/repository/Com_v_I_after_Leonesio_HRV.doc" TargetMode="External"/><Relationship Id="rId28" Type="http://schemas.openxmlformats.org/officeDocument/2006/relationships/hyperlink" Target="http://www.pravo.hr/_download/repository/PP_prezentacija_Pravni_akti.ppt" TargetMode="External"/><Relationship Id="rId36" Type="http://schemas.openxmlformats.org/officeDocument/2006/relationships/hyperlink" Target="http://curia.europa.eu/juris/celex.jsf?celex=62011CJ0399&amp;lang1=hr&amp;type=TXT&amp;ancre=" TargetMode="External"/><Relationship Id="rId10" Type="http://schemas.openxmlformats.org/officeDocument/2006/relationships/hyperlink" Target="http://curia.europa.eu/jcms/upload/docs/application/pdf/2014-02/tra-doc-hr-arret-c-0006-1964-201304451-05_00.pdf" TargetMode="External"/><Relationship Id="rId19" Type="http://schemas.openxmlformats.org/officeDocument/2006/relationships/hyperlink" Target="http://curia.europa.eu/jcms/upload/docs/application/pdf/2014-02/tra-doc-hr-arret-c-0043-1975-201304476-05_00.pdf" TargetMode="External"/><Relationship Id="rId31" Type="http://schemas.openxmlformats.org/officeDocument/2006/relationships/hyperlink" Target="http://www.pravo.hr/_download/repository/Variola_HRV.doc"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uria.europa.eu/jcms/upload/docs/application/pdf/2014-02/tra-doc-hr-arret-c-0026-1962-201304449-05_00.pdf" TargetMode="External"/><Relationship Id="rId14" Type="http://schemas.openxmlformats.org/officeDocument/2006/relationships/hyperlink" Target="http://www.pravo.unizg.hr/images/50003228/TobbaccoHRV_final_SR.doc" TargetMode="External"/><Relationship Id="rId22" Type="http://schemas.openxmlformats.org/officeDocument/2006/relationships/hyperlink" Target="http://www.pravo.hr/_download/repository/Leonesio_HRV.doc" TargetMode="External"/><Relationship Id="rId27" Type="http://schemas.openxmlformats.org/officeDocument/2006/relationships/hyperlink" Target="http://www.pravo.unizg.hr/_download/repository/usporedni_prikaz_clanaka_o_aktima.docx" TargetMode="External"/><Relationship Id="rId30" Type="http://schemas.openxmlformats.org/officeDocument/2006/relationships/hyperlink" Target="http://www.pravo.hr/_download/repository/Com_v_I_after_Leonesio_HRV.doc" TargetMode="External"/><Relationship Id="rId35" Type="http://schemas.openxmlformats.org/officeDocument/2006/relationships/hyperlink" Target="http://curia.europa.eu/jcms/jcms/P_119684/"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2031</Words>
  <Characters>11577</Characters>
  <Application>Microsoft Office Word</Application>
  <DocSecurity>0</DocSecurity>
  <Lines>96</Lines>
  <Paragraphs>27</Paragraphs>
  <ScaleCrop>false</ScaleCrop>
  <Company/>
  <LinksUpToDate>false</LinksUpToDate>
  <CharactersWithSpaces>13581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2018-07-03T12:46:00Z</dcterms:created>
  <dcterms:modified xsi:type="dcterms:W3CDTF">2018-07-03T12:46:00Z</dcterms:modified>
</cp:coreProperties>
</file>